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326F" w14:textId="1C4C11C1" w:rsidR="00F15FD9" w:rsidRPr="0059627C" w:rsidRDefault="00F15FD9" w:rsidP="00F15FD9">
      <w:pPr>
        <w:pStyle w:val="Ttulo1"/>
        <w:spacing w:before="600" w:after="240"/>
        <w:ind w:left="3969"/>
      </w:pPr>
      <w:r w:rsidRPr="0059627C">
        <w:t xml:space="preserve">ACCIÓN DE INCONSTITUCIONALIDAD </w:t>
      </w:r>
      <w:r w:rsidR="00D43CFC">
        <w:t>152/2021</w:t>
      </w:r>
      <w:r w:rsidR="00661DAD">
        <w:t xml:space="preserve"> </w:t>
      </w:r>
    </w:p>
    <w:p w14:paraId="456FC09D" w14:textId="1D14982E" w:rsidR="00F15FD9" w:rsidRPr="0059627C" w:rsidRDefault="003767ED" w:rsidP="00F15FD9">
      <w:pPr>
        <w:pStyle w:val="Ttulo1"/>
        <w:spacing w:before="240" w:after="240"/>
        <w:ind w:left="3969"/>
      </w:pPr>
      <w:r>
        <w:t xml:space="preserve">PROMOVENTES: </w:t>
      </w:r>
      <w:r w:rsidR="00D43CFC">
        <w:t>PARTIDO POLÍTICO LOCAL NUEVA ALIANZA EN EL ESTADO DE OAXACA</w:t>
      </w:r>
    </w:p>
    <w:p w14:paraId="6B3D1D46" w14:textId="77777777" w:rsidR="00F15FD9" w:rsidRPr="0059627C" w:rsidRDefault="00F15FD9" w:rsidP="00F15FD9">
      <w:pPr>
        <w:pStyle w:val="Sinespaciado"/>
        <w:tabs>
          <w:tab w:val="left" w:pos="7227"/>
        </w:tabs>
        <w:spacing w:before="240"/>
      </w:pPr>
      <w:r w:rsidRPr="0059627C">
        <w:t>VISTO BUENO</w:t>
      </w:r>
    </w:p>
    <w:p w14:paraId="22990942" w14:textId="7F2BDCE9" w:rsidR="00F15FD9" w:rsidRPr="0059627C" w:rsidRDefault="00F15FD9" w:rsidP="00F15FD9">
      <w:pPr>
        <w:pStyle w:val="Sinespaciado"/>
        <w:tabs>
          <w:tab w:val="left" w:pos="7309"/>
        </w:tabs>
      </w:pPr>
      <w:r w:rsidRPr="0059627C">
        <w:t>SR. MINISTR</w:t>
      </w:r>
      <w:r w:rsidR="00AB6305">
        <w:t>O</w:t>
      </w:r>
    </w:p>
    <w:p w14:paraId="6404E225" w14:textId="633C2C12" w:rsidR="00F15FD9" w:rsidRPr="0059627C" w:rsidRDefault="0058588F" w:rsidP="00F15FD9">
      <w:pPr>
        <w:spacing w:before="0"/>
        <w:rPr>
          <w:b/>
          <w:sz w:val="26"/>
          <w:szCs w:val="26"/>
        </w:rPr>
      </w:pPr>
      <w:r>
        <w:rPr>
          <w:b/>
          <w:sz w:val="26"/>
          <w:szCs w:val="26"/>
        </w:rPr>
        <w:t>MINISTRO</w:t>
      </w:r>
      <w:r w:rsidRPr="0059627C">
        <w:rPr>
          <w:b/>
          <w:sz w:val="26"/>
          <w:szCs w:val="26"/>
        </w:rPr>
        <w:t xml:space="preserve"> </w:t>
      </w:r>
      <w:r w:rsidR="00F15FD9" w:rsidRPr="0059627C">
        <w:rPr>
          <w:b/>
          <w:sz w:val="26"/>
          <w:szCs w:val="26"/>
        </w:rPr>
        <w:t>PONENTE</w:t>
      </w:r>
      <w:r>
        <w:rPr>
          <w:b/>
          <w:sz w:val="26"/>
          <w:szCs w:val="26"/>
        </w:rPr>
        <w:t>:</w:t>
      </w:r>
      <w:r w:rsidR="00F15FD9" w:rsidRPr="0059627C">
        <w:rPr>
          <w:b/>
          <w:sz w:val="26"/>
          <w:szCs w:val="26"/>
        </w:rPr>
        <w:t xml:space="preserve"> </w:t>
      </w:r>
      <w:r w:rsidR="00D43CFC">
        <w:rPr>
          <w:b/>
          <w:sz w:val="26"/>
          <w:szCs w:val="26"/>
        </w:rPr>
        <w:t>JAVIER LAYNEZ POTISEK</w:t>
      </w:r>
    </w:p>
    <w:p w14:paraId="2A6495FC" w14:textId="77777777" w:rsidR="00F15FD9" w:rsidRPr="0059627C" w:rsidRDefault="00F15FD9" w:rsidP="00F15FD9">
      <w:pPr>
        <w:pStyle w:val="Sinespaciado"/>
      </w:pPr>
      <w:r w:rsidRPr="0059627C">
        <w:t>COTEJÓ</w:t>
      </w:r>
    </w:p>
    <w:p w14:paraId="6FDAB7A4" w14:textId="1D27FD52" w:rsidR="00F15FD9" w:rsidRPr="0059627C" w:rsidRDefault="008F0D90" w:rsidP="00F15FD9">
      <w:pPr>
        <w:spacing w:before="0" w:after="0"/>
        <w:rPr>
          <w:b/>
          <w:sz w:val="26"/>
          <w:szCs w:val="26"/>
        </w:rPr>
      </w:pPr>
      <w:r>
        <w:rPr>
          <w:b/>
          <w:sz w:val="26"/>
          <w:szCs w:val="26"/>
        </w:rPr>
        <w:t xml:space="preserve">SECRETARIO: </w:t>
      </w:r>
      <w:r w:rsidR="00D43CFC">
        <w:rPr>
          <w:b/>
          <w:sz w:val="26"/>
          <w:szCs w:val="26"/>
        </w:rPr>
        <w:t>ALFREDO NARVÁEZ MEDÉCIGO</w:t>
      </w:r>
    </w:p>
    <w:p w14:paraId="34C3F947" w14:textId="78510646" w:rsidR="00F15FD9" w:rsidRPr="0059627C" w:rsidRDefault="00F15FD9" w:rsidP="00F15FD9">
      <w:pPr>
        <w:spacing w:before="0" w:after="0"/>
        <w:rPr>
          <w:b/>
          <w:sz w:val="26"/>
          <w:szCs w:val="26"/>
        </w:rPr>
      </w:pPr>
      <w:r w:rsidRPr="0059627C">
        <w:rPr>
          <w:b/>
          <w:sz w:val="26"/>
          <w:szCs w:val="26"/>
        </w:rPr>
        <w:t xml:space="preserve">COLABORÓ: </w:t>
      </w:r>
      <w:r w:rsidR="00D43CFC">
        <w:rPr>
          <w:b/>
          <w:sz w:val="26"/>
          <w:szCs w:val="26"/>
        </w:rPr>
        <w:t>RAFAEL DE LEÓN DEL ÁNGEL</w:t>
      </w:r>
    </w:p>
    <w:p w14:paraId="5D3EE571" w14:textId="77777777" w:rsidR="00F15FD9" w:rsidRPr="0059627C" w:rsidRDefault="00F15FD9" w:rsidP="00F15FD9">
      <w:pPr>
        <w:pStyle w:val="Prrafo"/>
      </w:pPr>
    </w:p>
    <w:p w14:paraId="50F51949" w14:textId="3811E18E" w:rsidR="00F15FD9" w:rsidRPr="0059627C" w:rsidRDefault="00F15FD9" w:rsidP="00F15FD9">
      <w:pPr>
        <w:pStyle w:val="Prrafo"/>
      </w:pPr>
      <w:r w:rsidRPr="0059627C">
        <w:t>Ciudad de México.</w:t>
      </w:r>
      <w:r w:rsidR="00420A2C">
        <w:t xml:space="preserve"> </w:t>
      </w:r>
      <w:r w:rsidR="002B7088">
        <w:t>El Pleno</w:t>
      </w:r>
      <w:r w:rsidR="002C58C4">
        <w:t xml:space="preserve"> </w:t>
      </w:r>
      <w:r w:rsidRPr="0059627C">
        <w:t>de la Suprema Corte de Justicia de la Nación, en sesión correspondiente al</w:t>
      </w:r>
      <w:r w:rsidR="002C58C4">
        <w:t xml:space="preserve"> </w:t>
      </w:r>
      <w:r w:rsidR="00C070E7">
        <w:t>diez</w:t>
      </w:r>
      <w:r w:rsidR="00340B3C">
        <w:t xml:space="preserve"> de </w:t>
      </w:r>
      <w:r w:rsidR="00C070E7">
        <w:t>marzo</w:t>
      </w:r>
      <w:r w:rsidR="00340B3C">
        <w:t xml:space="preserve"> de dos mil veintidós</w:t>
      </w:r>
      <w:r w:rsidRPr="0059627C">
        <w:t>, emite la siguiente</w:t>
      </w:r>
    </w:p>
    <w:p w14:paraId="65D7DB4F" w14:textId="77777777" w:rsidR="007E7E77" w:rsidRPr="0059627C" w:rsidRDefault="007E7E77" w:rsidP="00F15FD9">
      <w:pPr>
        <w:pStyle w:val="Prrafo"/>
      </w:pPr>
    </w:p>
    <w:p w14:paraId="25056514" w14:textId="77777777" w:rsidR="00F15FD9" w:rsidRPr="0059627C" w:rsidRDefault="00F15FD9" w:rsidP="00F15FD9">
      <w:pPr>
        <w:pStyle w:val="Ttulo2"/>
        <w:spacing w:before="240"/>
        <w:rPr>
          <w:rFonts w:ascii="Arial" w:hAnsi="Arial"/>
        </w:rPr>
      </w:pPr>
      <w:r w:rsidRPr="0059627C">
        <w:rPr>
          <w:rFonts w:ascii="Arial" w:hAnsi="Arial"/>
        </w:rPr>
        <w:t>SENTENCIA</w:t>
      </w:r>
    </w:p>
    <w:p w14:paraId="46A76433" w14:textId="7979D163" w:rsidR="007E7E77" w:rsidRPr="0059627C" w:rsidRDefault="00F6118D" w:rsidP="00837776">
      <w:pPr>
        <w:pStyle w:val="Prrafo"/>
      </w:pPr>
      <w:r>
        <w:t>M</w:t>
      </w:r>
      <w:r w:rsidR="00F15FD9" w:rsidRPr="0059627C">
        <w:t>ediante</w:t>
      </w:r>
      <w:r w:rsidR="00F15FD9" w:rsidRPr="0059627C">
        <w:rPr>
          <w:b/>
        </w:rPr>
        <w:t xml:space="preserve"> </w:t>
      </w:r>
      <w:r w:rsidR="00F15FD9" w:rsidRPr="0059627C">
        <w:t>la cual se resuelve la acción de inconstitucionalidad</w:t>
      </w:r>
      <w:r w:rsidR="002C58C4">
        <w:t xml:space="preserve"> </w:t>
      </w:r>
      <w:r w:rsidR="00D43CFC">
        <w:t>152/2021</w:t>
      </w:r>
      <w:r w:rsidR="00F15FD9" w:rsidRPr="0059627C">
        <w:t>, promovida por</w:t>
      </w:r>
      <w:r w:rsidR="002B7088">
        <w:t xml:space="preserve"> el</w:t>
      </w:r>
      <w:r w:rsidR="001E3BC7">
        <w:t xml:space="preserve"> </w:t>
      </w:r>
      <w:r w:rsidR="00D43CFC">
        <w:t>Partido</w:t>
      </w:r>
      <w:r w:rsidR="003D4419">
        <w:t xml:space="preserve"> Político Local</w:t>
      </w:r>
      <w:r w:rsidR="00D43CFC">
        <w:t xml:space="preserve"> Nueva Alianza Oaxaca</w:t>
      </w:r>
      <w:r w:rsidR="002E64A2">
        <w:t xml:space="preserve"> en </w:t>
      </w:r>
      <w:r w:rsidR="00F15FD9" w:rsidRPr="0059627C">
        <w:t xml:space="preserve">contra </w:t>
      </w:r>
      <w:r w:rsidR="002E64A2">
        <w:t>d</w:t>
      </w:r>
      <w:r w:rsidR="00D43CFC">
        <w:t xml:space="preserve">el Decreto No. 2617 por el </w:t>
      </w:r>
      <w:r w:rsidR="002B7088">
        <w:t xml:space="preserve">que se reforma el primer párrafo </w:t>
      </w:r>
      <w:r w:rsidR="00D43CFC">
        <w:t xml:space="preserve">del </w:t>
      </w:r>
      <w:r w:rsidR="002B7088">
        <w:t>artículo</w:t>
      </w:r>
      <w:r w:rsidR="00D43CFC">
        <w:t xml:space="preserve"> 114 de la Constitución Política del Estado Libre y Soberano de Oaxaca, </w:t>
      </w:r>
      <w:r w:rsidR="002B7088">
        <w:t>publicado</w:t>
      </w:r>
      <w:r w:rsidR="00D43CFC">
        <w:t xml:space="preserve"> en el P</w:t>
      </w:r>
      <w:r w:rsidR="002B7088">
        <w:t>eriódico Oficial del Estado de Oaxaca</w:t>
      </w:r>
      <w:r w:rsidR="00D43CFC">
        <w:t xml:space="preserve"> el </w:t>
      </w:r>
      <w:r w:rsidR="002B7088">
        <w:t>dieciocho de septiembre de dos mil veintiuno</w:t>
      </w:r>
      <w:r w:rsidR="00F15FD9" w:rsidRPr="0059627C">
        <w:t>.</w:t>
      </w:r>
    </w:p>
    <w:p w14:paraId="050B7419" w14:textId="10249CE2" w:rsidR="00A86583" w:rsidRPr="00A86583" w:rsidRDefault="00F15FD9" w:rsidP="00A86583">
      <w:pPr>
        <w:pStyle w:val="Ttulo3"/>
        <w:numPr>
          <w:ilvl w:val="0"/>
          <w:numId w:val="0"/>
        </w:numPr>
        <w:ind w:left="1080"/>
      </w:pPr>
      <w:r w:rsidRPr="0059627C">
        <w:t>ANTECEDENTES</w:t>
      </w:r>
    </w:p>
    <w:p w14:paraId="58A99AD9" w14:textId="1FC5DBB2" w:rsidR="00937942" w:rsidRPr="00BA2321" w:rsidRDefault="00A86583" w:rsidP="00BA2321">
      <w:pPr>
        <w:pStyle w:val="Prrafo"/>
        <w:numPr>
          <w:ilvl w:val="0"/>
          <w:numId w:val="6"/>
        </w:numPr>
        <w:ind w:left="0" w:hanging="567"/>
        <w:rPr>
          <w:bCs/>
        </w:rPr>
      </w:pPr>
      <w:r w:rsidRPr="00A86583">
        <w:rPr>
          <w:rFonts w:eastAsia="Times New Roman"/>
          <w:b/>
          <w:lang w:eastAsia="es-MX"/>
        </w:rPr>
        <w:t>Emisión de la norma general impugnada</w:t>
      </w:r>
      <w:r w:rsidRPr="00A86583">
        <w:rPr>
          <w:rFonts w:eastAsia="Times New Roman"/>
          <w:lang w:eastAsia="es-MX"/>
        </w:rPr>
        <w:t xml:space="preserve">. El </w:t>
      </w:r>
      <w:r w:rsidRPr="00A86583">
        <w:t>dieciocho de septiembre de dos mil veintiuno</w:t>
      </w:r>
      <w:r w:rsidRPr="00A86583">
        <w:rPr>
          <w:rFonts w:eastAsia="Times New Roman"/>
          <w:lang w:eastAsia="es-MX"/>
        </w:rPr>
        <w:t xml:space="preserve"> se publicó en el</w:t>
      </w:r>
      <w:r w:rsidRPr="00A86583">
        <w:t xml:space="preserve"> Periódico Oficial de Oaxaca el Decreto 2617</w:t>
      </w:r>
      <w:r w:rsidR="00BC77F9">
        <w:t>.</w:t>
      </w:r>
      <w:r w:rsidRPr="00A86583">
        <w:t xml:space="preserve"> </w:t>
      </w:r>
      <w:r w:rsidR="00BC77F9">
        <w:t>A través de ese instrumento</w:t>
      </w:r>
      <w:r w:rsidRPr="00A86583">
        <w:t xml:space="preserve"> se reformó el</w:t>
      </w:r>
      <w:r w:rsidR="00BC77F9">
        <w:t xml:space="preserve"> primer párrafo del</w:t>
      </w:r>
      <w:r w:rsidRPr="00A86583">
        <w:t xml:space="preserve"> artículo 114 de la Constitución Política del Estado Libre y Soberano de Oaxaca</w:t>
      </w:r>
      <w:r w:rsidR="00E521BE">
        <w:t xml:space="preserve"> (en lo sucesivo “Constitución de Oaxaca”)</w:t>
      </w:r>
      <w:r w:rsidR="003142DF">
        <w:t xml:space="preserve"> para disponer</w:t>
      </w:r>
      <w:r w:rsidR="00C00EB9">
        <w:rPr>
          <w:rFonts w:eastAsia="Times New Roman"/>
          <w:bCs/>
          <w:lang w:eastAsia="es-MX"/>
        </w:rPr>
        <w:t>, en esencia,</w:t>
      </w:r>
      <w:r w:rsidR="00937942" w:rsidRPr="00BA2321">
        <w:rPr>
          <w:rFonts w:eastAsia="Times New Roman"/>
          <w:bCs/>
          <w:lang w:eastAsia="es-MX"/>
        </w:rPr>
        <w:t xml:space="preserve"> que los órganos autónomos del Estado de Oaxaca</w:t>
      </w:r>
      <w:r w:rsidR="003142DF" w:rsidRPr="00BA2321">
        <w:rPr>
          <w:rFonts w:eastAsia="Times New Roman"/>
          <w:bCs/>
          <w:lang w:eastAsia="es-MX"/>
        </w:rPr>
        <w:t>, a través de sus titulares,</w:t>
      </w:r>
      <w:r w:rsidR="00937942" w:rsidRPr="00BA2321">
        <w:rPr>
          <w:rFonts w:eastAsia="Times New Roman"/>
          <w:bCs/>
          <w:lang w:eastAsia="es-MX"/>
        </w:rPr>
        <w:t xml:space="preserve"> deb</w:t>
      </w:r>
      <w:r w:rsidR="00BC77F9">
        <w:rPr>
          <w:rFonts w:eastAsia="Times New Roman"/>
          <w:bCs/>
          <w:lang w:eastAsia="es-MX"/>
        </w:rPr>
        <w:t>e</w:t>
      </w:r>
      <w:r w:rsidR="00937942" w:rsidRPr="00BA2321">
        <w:rPr>
          <w:rFonts w:eastAsia="Times New Roman"/>
          <w:bCs/>
          <w:lang w:eastAsia="es-MX"/>
        </w:rPr>
        <w:t>n rendir un informe de labores ante el</w:t>
      </w:r>
      <w:r w:rsidR="003142DF">
        <w:rPr>
          <w:rFonts w:eastAsia="Times New Roman"/>
          <w:bCs/>
          <w:lang w:eastAsia="es-MX"/>
        </w:rPr>
        <w:t xml:space="preserve"> pleno del</w:t>
      </w:r>
      <w:r w:rsidR="00937942" w:rsidRPr="00BA2321">
        <w:rPr>
          <w:rFonts w:eastAsia="Times New Roman"/>
          <w:bCs/>
          <w:lang w:eastAsia="es-MX"/>
        </w:rPr>
        <w:t xml:space="preserve"> Congreso </w:t>
      </w:r>
      <w:r w:rsidR="00BC77F9">
        <w:rPr>
          <w:rFonts w:eastAsia="Times New Roman"/>
          <w:bCs/>
          <w:lang w:eastAsia="es-MX"/>
        </w:rPr>
        <w:t>estatal</w:t>
      </w:r>
      <w:r w:rsidR="00937942" w:rsidRPr="00BA2321">
        <w:rPr>
          <w:rFonts w:eastAsia="Times New Roman"/>
          <w:bCs/>
          <w:lang w:eastAsia="es-MX"/>
        </w:rPr>
        <w:t>.</w:t>
      </w:r>
      <w:r w:rsidR="00937942" w:rsidRPr="00BA2321">
        <w:rPr>
          <w:rFonts w:eastAsia="Times New Roman"/>
          <w:b/>
          <w:lang w:eastAsia="es-MX"/>
        </w:rPr>
        <w:t xml:space="preserve"> </w:t>
      </w:r>
    </w:p>
    <w:p w14:paraId="0E2C5ED6" w14:textId="0A73804B" w:rsidR="005C6371" w:rsidRPr="005C6371" w:rsidRDefault="00937942" w:rsidP="00937942">
      <w:pPr>
        <w:pStyle w:val="Prrafo"/>
        <w:numPr>
          <w:ilvl w:val="0"/>
          <w:numId w:val="6"/>
        </w:numPr>
        <w:ind w:left="0" w:hanging="567"/>
      </w:pPr>
      <w:r>
        <w:rPr>
          <w:b/>
        </w:rPr>
        <w:lastRenderedPageBreak/>
        <w:t>Promoción de la acción de inconstitucionalidad</w:t>
      </w:r>
      <w:r w:rsidR="00A86583" w:rsidRPr="0059627C">
        <w:rPr>
          <w:b/>
        </w:rPr>
        <w:t>.</w:t>
      </w:r>
      <w:r w:rsidR="00A86583" w:rsidRPr="0059627C">
        <w:t xml:space="preserve"> </w:t>
      </w:r>
      <w:r w:rsidR="00A86583" w:rsidRPr="005C6371">
        <w:t>El</w:t>
      </w:r>
      <w:r w:rsidR="00A86583" w:rsidRPr="005C6371">
        <w:rPr>
          <w:b/>
        </w:rPr>
        <w:t xml:space="preserve"> </w:t>
      </w:r>
      <w:r w:rsidR="00A86583" w:rsidRPr="005C6371">
        <w:t xml:space="preserve">dieciocho de octubre de dos mil veintiuno el Partido </w:t>
      </w:r>
      <w:r w:rsidR="007912AB">
        <w:t xml:space="preserve">Político </w:t>
      </w:r>
      <w:r w:rsidR="00A86583" w:rsidRPr="005C6371">
        <w:t xml:space="preserve">Nueva Alianza Oaxaca, a través de quien se ostentó como Presidenta del Comité de Dirección Estatal, promovió acción de inconstitucionalidad en contra del Decreto No. 2617. </w:t>
      </w:r>
      <w:r>
        <w:t>A</w:t>
      </w:r>
      <w:r w:rsidR="005C6371" w:rsidRPr="005C6371">
        <w:t>dujo que la modificación a la Constitución de Oaxaca prevista en el decreto impugnado era contraria a los artículos 41,</w:t>
      </w:r>
      <w:r w:rsidR="00F22712">
        <w:t xml:space="preserve"> 49,</w:t>
      </w:r>
      <w:r w:rsidR="005C6371" w:rsidRPr="005C6371">
        <w:t xml:space="preserve"> 73, fracción XXIX-</w:t>
      </w:r>
      <w:r w:rsidR="005C6371" w:rsidRPr="00937942">
        <w:rPr>
          <w:rFonts w:eastAsia="Times New Roman"/>
          <w:lang w:eastAsia="es-MX"/>
        </w:rPr>
        <w:t>U, 114, 116</w:t>
      </w:r>
      <w:r w:rsidR="00F22712">
        <w:rPr>
          <w:rFonts w:eastAsia="Times New Roman"/>
          <w:lang w:eastAsia="es-MX"/>
        </w:rPr>
        <w:t>,</w:t>
      </w:r>
      <w:r w:rsidR="005C6371" w:rsidRPr="00937942">
        <w:rPr>
          <w:rFonts w:eastAsia="Times New Roman"/>
          <w:lang w:eastAsia="es-MX"/>
        </w:rPr>
        <w:t xml:space="preserve"> 124</w:t>
      </w:r>
      <w:r w:rsidR="00F22712" w:rsidRPr="00F22712">
        <w:rPr>
          <w:rFonts w:eastAsia="Times New Roman"/>
          <w:lang w:eastAsia="es-MX"/>
        </w:rPr>
        <w:t xml:space="preserve"> </w:t>
      </w:r>
      <w:r w:rsidR="00F22712" w:rsidRPr="00937942">
        <w:rPr>
          <w:rFonts w:eastAsia="Times New Roman"/>
          <w:lang w:eastAsia="es-MX"/>
        </w:rPr>
        <w:t>y</w:t>
      </w:r>
      <w:r w:rsidR="00F22712">
        <w:rPr>
          <w:rFonts w:eastAsia="Times New Roman"/>
          <w:lang w:eastAsia="es-MX"/>
        </w:rPr>
        <w:t xml:space="preserve"> 133</w:t>
      </w:r>
      <w:r w:rsidR="005C6371" w:rsidRPr="00937942">
        <w:rPr>
          <w:rFonts w:eastAsia="Times New Roman"/>
          <w:lang w:eastAsia="es-MX"/>
        </w:rPr>
        <w:t xml:space="preserve"> </w:t>
      </w:r>
      <w:r w:rsidR="005C6371" w:rsidRPr="005C6371">
        <w:t xml:space="preserve">de la Constitución Política de los Estados Unidos Mexicanos (en lo sucesivo “Constitución Federal”), pues incluía al </w:t>
      </w:r>
      <w:r w:rsidR="005C6371" w:rsidRPr="00937942">
        <w:rPr>
          <w:lang w:val="es-ES_tradnl"/>
        </w:rPr>
        <w:t>Instituto Estatal Electoral y al Tribunal Electoral Local de Oaxaca en</w:t>
      </w:r>
      <w:r w:rsidR="00882A24">
        <w:rPr>
          <w:lang w:val="es-ES_tradnl"/>
        </w:rPr>
        <w:t>tre los órganos que tienen</w:t>
      </w:r>
      <w:r w:rsidR="005C6371" w:rsidRPr="00937942">
        <w:rPr>
          <w:lang w:val="es-ES_tradnl"/>
        </w:rPr>
        <w:t xml:space="preserve"> la obligación de rendir</w:t>
      </w:r>
      <w:r w:rsidR="00E15ACC">
        <w:rPr>
          <w:lang w:val="es-ES_tradnl"/>
        </w:rPr>
        <w:t xml:space="preserve">, </w:t>
      </w:r>
      <w:r w:rsidR="00E15ACC" w:rsidRPr="00937942">
        <w:rPr>
          <w:lang w:val="es-ES_tradnl"/>
        </w:rPr>
        <w:t>por conducto de sus titulares</w:t>
      </w:r>
      <w:r w:rsidR="00E15ACC">
        <w:rPr>
          <w:lang w:val="es-ES_tradnl"/>
        </w:rPr>
        <w:t>,</w:t>
      </w:r>
      <w:r w:rsidR="005C6371" w:rsidRPr="00937942">
        <w:rPr>
          <w:lang w:val="es-ES_tradnl"/>
        </w:rPr>
        <w:t xml:space="preserve"> un informe anual de labores ante el Pleno del Congreso del Estado</w:t>
      </w:r>
      <w:r w:rsidR="00CE7B97">
        <w:rPr>
          <w:lang w:val="es-ES_tradnl"/>
        </w:rPr>
        <w:t>.</w:t>
      </w:r>
      <w:r w:rsidR="00613B8E">
        <w:rPr>
          <w:lang w:val="es-ES_tradnl"/>
        </w:rPr>
        <w:t xml:space="preserve"> </w:t>
      </w:r>
      <w:r w:rsidR="00CE7B97">
        <w:rPr>
          <w:lang w:val="es-ES_tradnl"/>
        </w:rPr>
        <w:t>Esto</w:t>
      </w:r>
      <w:r w:rsidR="00613B8E">
        <w:rPr>
          <w:lang w:val="es-ES_tradnl"/>
        </w:rPr>
        <w:t xml:space="preserve"> vulneraba no sólo </w:t>
      </w:r>
      <w:r w:rsidR="007377AC">
        <w:rPr>
          <w:lang w:val="es-ES_tradnl"/>
        </w:rPr>
        <w:t>la</w:t>
      </w:r>
      <w:r w:rsidR="00613B8E">
        <w:rPr>
          <w:lang w:val="es-ES_tradnl"/>
        </w:rPr>
        <w:t xml:space="preserve"> autonomía e independencia</w:t>
      </w:r>
      <w:r w:rsidR="007377AC">
        <w:rPr>
          <w:lang w:val="es-ES_tradnl"/>
        </w:rPr>
        <w:t xml:space="preserve"> de las autoridades electorales</w:t>
      </w:r>
      <w:r w:rsidR="00613B8E">
        <w:rPr>
          <w:lang w:val="es-ES_tradnl"/>
        </w:rPr>
        <w:t>, sino también las atribuciones del Congreso de la Unión</w:t>
      </w:r>
      <w:r w:rsidR="00BA2321" w:rsidRPr="004438C8">
        <w:rPr>
          <w:rStyle w:val="Refdenotaalpie"/>
        </w:rPr>
        <w:footnoteReference w:id="1"/>
      </w:r>
      <w:r w:rsidR="005C6371" w:rsidRPr="00937942">
        <w:rPr>
          <w:lang w:val="es-ES_tradnl"/>
        </w:rPr>
        <w:t>.</w:t>
      </w:r>
    </w:p>
    <w:p w14:paraId="73B791F5" w14:textId="5270797C" w:rsidR="005C6371" w:rsidRPr="005C6371" w:rsidRDefault="00F15FD9" w:rsidP="005C6371">
      <w:pPr>
        <w:pStyle w:val="Prrafo"/>
        <w:numPr>
          <w:ilvl w:val="0"/>
          <w:numId w:val="6"/>
        </w:numPr>
        <w:ind w:left="0" w:hanging="567"/>
      </w:pPr>
      <w:r w:rsidRPr="0059627C">
        <w:rPr>
          <w:b/>
        </w:rPr>
        <w:t>Admisión y trámite.</w:t>
      </w:r>
      <w:r w:rsidRPr="0059627C">
        <w:t xml:space="preserve"> </w:t>
      </w:r>
      <w:r w:rsidR="005C6371" w:rsidRPr="005C6371">
        <w:rPr>
          <w:rFonts w:eastAsia="Times New Roman"/>
          <w:lang w:eastAsia="es-MX"/>
        </w:rPr>
        <w:t>El veintiuno de octubre de dos mil veintiuno el ministro Presidente de la Suprema Corte de Justicia de la Nación ordenó formar</w:t>
      </w:r>
      <w:r w:rsidR="008C27A6">
        <w:rPr>
          <w:rFonts w:eastAsia="Times New Roman"/>
          <w:lang w:eastAsia="es-MX"/>
        </w:rPr>
        <w:t xml:space="preserve"> el</w:t>
      </w:r>
      <w:r w:rsidR="005C6371" w:rsidRPr="005C6371">
        <w:rPr>
          <w:rFonts w:eastAsia="Times New Roman"/>
          <w:lang w:eastAsia="es-MX"/>
        </w:rPr>
        <w:t xml:space="preserve"> expediente respectivo, registrarlo con el número </w:t>
      </w:r>
      <w:r w:rsidR="005C6371" w:rsidRPr="005C6371">
        <w:rPr>
          <w:rFonts w:eastAsia="Times New Roman"/>
          <w:b/>
          <w:lang w:eastAsia="es-MX"/>
        </w:rPr>
        <w:t>152/2021</w:t>
      </w:r>
      <w:r w:rsidR="005C6371" w:rsidRPr="005C6371">
        <w:rPr>
          <w:rFonts w:eastAsia="Times New Roman"/>
          <w:lang w:eastAsia="es-MX"/>
        </w:rPr>
        <w:t xml:space="preserve"> y turnarlo al ministro Javier Laynez Potisek para que instruyera el procedimiento correspondiente</w:t>
      </w:r>
      <w:r w:rsidR="005C6371" w:rsidRPr="004438C8">
        <w:rPr>
          <w:rStyle w:val="Refdenotaalpie"/>
          <w:rFonts w:eastAsia="Times New Roman"/>
          <w:lang w:eastAsia="es-MX"/>
        </w:rPr>
        <w:footnoteReference w:id="2"/>
      </w:r>
      <w:r w:rsidR="005C6371" w:rsidRPr="005C6371">
        <w:rPr>
          <w:rFonts w:eastAsia="Times New Roman"/>
          <w:lang w:eastAsia="es-MX"/>
        </w:rPr>
        <w:t>.</w:t>
      </w:r>
    </w:p>
    <w:p w14:paraId="521D29BF" w14:textId="013B81DD" w:rsidR="00A86583" w:rsidRPr="00A86583" w:rsidRDefault="005C6371" w:rsidP="00A86583">
      <w:pPr>
        <w:pStyle w:val="Prrafo"/>
        <w:numPr>
          <w:ilvl w:val="0"/>
          <w:numId w:val="6"/>
        </w:numPr>
        <w:ind w:left="0" w:hanging="567"/>
      </w:pPr>
      <w:r w:rsidRPr="005C6371">
        <w:rPr>
          <w:rFonts w:eastAsia="Times New Roman"/>
          <w:lang w:eastAsia="es-MX"/>
        </w:rPr>
        <w:t xml:space="preserve">El </w:t>
      </w:r>
      <w:r w:rsidRPr="005C6371">
        <w:t>veintiocho de octubre siguiente</w:t>
      </w:r>
      <w:r w:rsidRPr="005C6371">
        <w:rPr>
          <w:rFonts w:eastAsia="Times New Roman"/>
          <w:lang w:eastAsia="es-MX"/>
        </w:rPr>
        <w:t xml:space="preserve"> el ministro instructor admitió a trámite la acción de inconstitucionalidad, dio vista a los poderes Legislativo y Ejecutivo de Oaxaca para que rindieran sus informes dentro del plazo de seis días naturales y les requirió para que con ellos enviaran, respectivamente, copias certificadas de los antecedentes legislativos del decreto impugnado y el ejemplar o copia certificada del periódico oficial de la entidad federativa en que constara su publicación. Asimismo, dio vista a la Fiscalía General de la República y a la Consejería Jurídica del Ejecutivo Federal para que hasta antes del cierre de la instrucción hicieran las manifestaciones que les correspondieran. Por otra parte, requirió al Instituto Estatal Electoral y de Participación Ciudadana de Oaxaca para que informara la fecha de inicio del próximo proceso electoral en </w:t>
      </w:r>
      <w:r w:rsidRPr="005C6371">
        <w:rPr>
          <w:rFonts w:eastAsia="Times New Roman"/>
          <w:lang w:eastAsia="es-MX"/>
        </w:rPr>
        <w:lastRenderedPageBreak/>
        <w:t xml:space="preserve">la entidad federativa y le solicitó documentación relacionada con el partido político promovente. Por último, solicitó al Presidente de la Sala Superior Tribunal Electoral del Poder Judicial de la Federación </w:t>
      </w:r>
      <w:r w:rsidR="009C340E">
        <w:rPr>
          <w:rFonts w:eastAsia="Times New Roman"/>
          <w:lang w:eastAsia="es-MX"/>
        </w:rPr>
        <w:t>la</w:t>
      </w:r>
      <w:r w:rsidRPr="005C6371">
        <w:rPr>
          <w:rFonts w:eastAsia="Times New Roman"/>
          <w:lang w:eastAsia="es-MX"/>
        </w:rPr>
        <w:t xml:space="preserve"> opinión</w:t>
      </w:r>
      <w:r w:rsidR="009C340E">
        <w:rPr>
          <w:rFonts w:eastAsia="Times New Roman"/>
          <w:lang w:eastAsia="es-MX"/>
        </w:rPr>
        <w:t xml:space="preserve"> de ese órgano jurisdiccional</w:t>
      </w:r>
      <w:r w:rsidRPr="005C6371">
        <w:rPr>
          <w:rFonts w:eastAsia="Times New Roman"/>
          <w:lang w:eastAsia="es-MX"/>
        </w:rPr>
        <w:t xml:space="preserve"> respecto de la acción de inconstitucionalidad</w:t>
      </w:r>
      <w:r w:rsidRPr="00972D9E">
        <w:rPr>
          <w:rStyle w:val="Refdenotaalpie"/>
          <w:rFonts w:eastAsia="Times New Roman"/>
          <w:lang w:eastAsia="es-MX"/>
        </w:rPr>
        <w:footnoteReference w:id="3"/>
      </w:r>
      <w:r w:rsidRPr="005C6371">
        <w:rPr>
          <w:rFonts w:eastAsia="Times New Roman"/>
          <w:lang w:eastAsia="es-MX"/>
        </w:rPr>
        <w:t>.</w:t>
      </w:r>
      <w:bookmarkStart w:id="0" w:name="_Hlk45890844"/>
    </w:p>
    <w:p w14:paraId="6EB63BCE" w14:textId="28EB9A09" w:rsidR="00E54577" w:rsidRDefault="00A86583" w:rsidP="00A86583">
      <w:pPr>
        <w:pStyle w:val="Prrafo"/>
        <w:numPr>
          <w:ilvl w:val="0"/>
          <w:numId w:val="6"/>
        </w:numPr>
        <w:ind w:left="0" w:hanging="567"/>
      </w:pPr>
      <w:r w:rsidRPr="0059627C">
        <w:rPr>
          <w:b/>
          <w:bCs/>
        </w:rPr>
        <w:t xml:space="preserve">Opinión de la Sala Superior </w:t>
      </w:r>
      <w:r>
        <w:rPr>
          <w:b/>
          <w:bCs/>
        </w:rPr>
        <w:t>del</w:t>
      </w:r>
      <w:r w:rsidR="0057085A">
        <w:rPr>
          <w:b/>
          <w:bCs/>
        </w:rPr>
        <w:t xml:space="preserve"> Tribunal Electoral del</w:t>
      </w:r>
      <w:r>
        <w:rPr>
          <w:b/>
          <w:bCs/>
        </w:rPr>
        <w:t xml:space="preserve"> Poder Judicial de la Federación</w:t>
      </w:r>
      <w:r w:rsidR="00E54577">
        <w:rPr>
          <w:b/>
          <w:bCs/>
        </w:rPr>
        <w:t>.</w:t>
      </w:r>
      <w:r>
        <w:t xml:space="preserve"> E</w:t>
      </w:r>
      <w:r w:rsidRPr="00A86583">
        <w:rPr>
          <w:rFonts w:eastAsia="Times New Roman"/>
          <w:lang w:eastAsia="es-MX"/>
        </w:rPr>
        <w:t xml:space="preserve">l </w:t>
      </w:r>
      <w:r w:rsidRPr="00A86583">
        <w:t xml:space="preserve">nueve de noviembre de dos mil veintiuno la Sala Superior del Tribunal Electoral del Poder Judicial de la Federación remitió su opinión sobre la acción de inconstitucionalidad. Por un lado, señaló que los planteamientos del Partido Nueva Alianza Oaxaca guardaban relación con los expuestos por el partido promovente en la acción de inconstitucionalidad 57/2015. </w:t>
      </w:r>
      <w:r w:rsidR="00E54577">
        <w:t>Asimismo, e</w:t>
      </w:r>
      <w:r w:rsidRPr="00A86583">
        <w:t>n relación con el tema de fondo</w:t>
      </w:r>
      <w:r w:rsidR="00E54577">
        <w:t>,</w:t>
      </w:r>
      <w:r w:rsidRPr="00A86583">
        <w:rPr>
          <w:rFonts w:eastAsia="Times New Roman"/>
          <w:b/>
          <w:lang w:eastAsia="es-MX"/>
        </w:rPr>
        <w:t xml:space="preserve"> </w:t>
      </w:r>
      <w:r w:rsidRPr="00A86583">
        <w:t>la Sala Superior se pronunció por la constitucionalidad del decreto legislativo impugnado</w:t>
      </w:r>
      <w:r w:rsidRPr="00972D9E">
        <w:rPr>
          <w:rStyle w:val="Refdenotaalpie"/>
          <w:rFonts w:eastAsia="Times New Roman"/>
          <w:lang w:eastAsia="es-MX"/>
        </w:rPr>
        <w:footnoteReference w:id="4"/>
      </w:r>
      <w:r w:rsidRPr="00A86583">
        <w:t>.</w:t>
      </w:r>
    </w:p>
    <w:p w14:paraId="3761288C" w14:textId="63C3EA83" w:rsidR="00A86583" w:rsidRDefault="00F15FD9" w:rsidP="00E54577">
      <w:pPr>
        <w:pStyle w:val="Prrafo"/>
        <w:numPr>
          <w:ilvl w:val="0"/>
          <w:numId w:val="6"/>
        </w:numPr>
        <w:ind w:left="0" w:hanging="567"/>
      </w:pPr>
      <w:r w:rsidRPr="00E54577">
        <w:rPr>
          <w:b/>
        </w:rPr>
        <w:t>Informe del Poder Legislativo de</w:t>
      </w:r>
      <w:r w:rsidR="00A86583" w:rsidRPr="00E54577">
        <w:rPr>
          <w:b/>
        </w:rPr>
        <w:t>l Estado de Oaxaca.</w:t>
      </w:r>
      <w:r w:rsidRPr="00E54577">
        <w:rPr>
          <w:b/>
        </w:rPr>
        <w:t xml:space="preserve"> </w:t>
      </w:r>
      <w:bookmarkEnd w:id="0"/>
      <w:r w:rsidR="00A86583" w:rsidRPr="001A4030">
        <w:t xml:space="preserve">El </w:t>
      </w:r>
      <w:r w:rsidR="00A86583">
        <w:t>diecinueve</w:t>
      </w:r>
      <w:r w:rsidR="00A86583" w:rsidRPr="001A4030">
        <w:t xml:space="preserve"> de </w:t>
      </w:r>
      <w:r w:rsidR="00A86583">
        <w:t>noviembre</w:t>
      </w:r>
      <w:r w:rsidR="00A86583" w:rsidRPr="001A4030">
        <w:t xml:space="preserve"> de dos mil veint</w:t>
      </w:r>
      <w:r w:rsidR="00A86583">
        <w:t xml:space="preserve">iuno </w:t>
      </w:r>
      <w:r w:rsidR="00A86583" w:rsidRPr="001A4030">
        <w:t xml:space="preserve">el Poder Legislativo de Oaxaca, a través del Presidente </w:t>
      </w:r>
      <w:r w:rsidR="00A86583">
        <w:t>de</w:t>
      </w:r>
      <w:r w:rsidR="00A86583" w:rsidRPr="001A4030">
        <w:t xml:space="preserve"> la </w:t>
      </w:r>
      <w:r w:rsidR="00A86583">
        <w:t xml:space="preserve">Junta de Coordinación Política </w:t>
      </w:r>
      <w:r w:rsidR="00A86583" w:rsidRPr="00DA3DBE">
        <w:t>del Congreso del Estado, rindió su informe en el sentido de sostener la improcedencia de la acción, así como la constitucionalidad del decreto impugnado</w:t>
      </w:r>
      <w:r w:rsidR="00A86583" w:rsidRPr="00E54577">
        <w:rPr>
          <w:rFonts w:eastAsia="Times New Roman"/>
          <w:b/>
          <w:lang w:eastAsia="es-MX"/>
        </w:rPr>
        <w:t xml:space="preserve"> </w:t>
      </w:r>
      <w:r w:rsidR="00A86583" w:rsidRPr="00DA3DBE">
        <w:t>y remitió los antecedentes legislativos que le fueron requeridos</w:t>
      </w:r>
      <w:r w:rsidR="00A86583" w:rsidRPr="004438C8">
        <w:rPr>
          <w:rStyle w:val="Refdenotaalpie"/>
        </w:rPr>
        <w:footnoteReference w:id="5"/>
      </w:r>
      <w:r w:rsidR="00A86583" w:rsidRPr="00DA3DBE">
        <w:t xml:space="preserve">. </w:t>
      </w:r>
    </w:p>
    <w:p w14:paraId="6E08A24B" w14:textId="0F603276" w:rsidR="00E54577" w:rsidRPr="0059627C" w:rsidRDefault="00E54577" w:rsidP="00E54577">
      <w:pPr>
        <w:pStyle w:val="Prrafo"/>
        <w:numPr>
          <w:ilvl w:val="0"/>
          <w:numId w:val="6"/>
        </w:numPr>
        <w:ind w:left="0" w:hanging="567"/>
      </w:pPr>
      <w:r>
        <w:rPr>
          <w:b/>
          <w:bCs/>
        </w:rPr>
        <w:t xml:space="preserve">Desahogo de requerimiento en relación con el inicio del proceso electoral. </w:t>
      </w:r>
      <w:r>
        <w:t>E</w:t>
      </w:r>
      <w:r w:rsidRPr="00A86583">
        <w:rPr>
          <w:rFonts w:eastAsia="Times New Roman"/>
          <w:lang w:eastAsia="es-MX"/>
        </w:rPr>
        <w:t xml:space="preserve">l veintiuno de </w:t>
      </w:r>
      <w:r>
        <w:rPr>
          <w:rFonts w:eastAsia="Times New Roman"/>
          <w:lang w:eastAsia="es-MX"/>
        </w:rPr>
        <w:t>noviembre siguiente</w:t>
      </w:r>
      <w:r w:rsidRPr="00A86583">
        <w:rPr>
          <w:rFonts w:eastAsia="Times New Roman"/>
          <w:lang w:eastAsia="es-MX"/>
        </w:rPr>
        <w:t xml:space="preserve"> el Juzgado Décimo de Distrito en el Estado de Oaxaca, con residencia en San Bartolo Coyotepec, remitió el oficio del Instituto Estatal Electoral y de Participación Ciudadana de Oaxaca, en donde</w:t>
      </w:r>
      <w:r w:rsidRPr="00A86583">
        <w:rPr>
          <w:rFonts w:eastAsia="Times New Roman"/>
          <w:b/>
          <w:lang w:eastAsia="es-MX"/>
        </w:rPr>
        <w:t xml:space="preserve"> </w:t>
      </w:r>
      <w:r w:rsidRPr="00A86583">
        <w:rPr>
          <w:rFonts w:eastAsia="Times New Roman"/>
          <w:lang w:eastAsia="es-MX"/>
        </w:rPr>
        <w:t>informó que el seis de septiembre de dos mil veintiuno el Consejo General de ese Instituto declaró el inicio del proceso electoral para la renovación del Poder Ejecutivo en esa entidad federativa</w:t>
      </w:r>
      <w:r w:rsidRPr="00A86583">
        <w:rPr>
          <w:rFonts w:eastAsia="Times New Roman"/>
          <w:b/>
          <w:lang w:eastAsia="es-MX"/>
        </w:rPr>
        <w:t xml:space="preserve"> </w:t>
      </w:r>
      <w:r w:rsidRPr="00A86583">
        <w:rPr>
          <w:rFonts w:eastAsia="Times New Roman"/>
          <w:lang w:eastAsia="es-MX"/>
        </w:rPr>
        <w:t>y remitió la documentación que le fue solicitada</w:t>
      </w:r>
      <w:r w:rsidRPr="00972D9E">
        <w:rPr>
          <w:rStyle w:val="Refdenotaalpie"/>
          <w:rFonts w:eastAsia="Times New Roman"/>
          <w:lang w:eastAsia="es-MX"/>
        </w:rPr>
        <w:footnoteReference w:id="6"/>
      </w:r>
      <w:r w:rsidRPr="00A86583">
        <w:t>.</w:t>
      </w:r>
    </w:p>
    <w:p w14:paraId="4FE42CCD" w14:textId="60C89C58" w:rsidR="00A86583" w:rsidRPr="0059627C" w:rsidRDefault="00F15FD9" w:rsidP="00A86583">
      <w:pPr>
        <w:pStyle w:val="Prrafo"/>
        <w:numPr>
          <w:ilvl w:val="0"/>
          <w:numId w:val="6"/>
        </w:numPr>
        <w:ind w:left="0" w:hanging="567"/>
      </w:pPr>
      <w:bookmarkStart w:id="1" w:name="_Hlk45890854"/>
      <w:r w:rsidRPr="0059627C">
        <w:rPr>
          <w:b/>
        </w:rPr>
        <w:t xml:space="preserve">Informe del Poder Ejecutivo </w:t>
      </w:r>
      <w:r w:rsidR="00A86583" w:rsidRPr="0059627C">
        <w:rPr>
          <w:b/>
        </w:rPr>
        <w:t>de</w:t>
      </w:r>
      <w:r w:rsidR="00A86583">
        <w:rPr>
          <w:b/>
        </w:rPr>
        <w:t>l Estado de Oaxaca.</w:t>
      </w:r>
      <w:r w:rsidR="00A86583" w:rsidRPr="0059627C">
        <w:rPr>
          <w:b/>
        </w:rPr>
        <w:t xml:space="preserve"> </w:t>
      </w:r>
      <w:r w:rsidR="00A86583" w:rsidRPr="0059627C">
        <w:rPr>
          <w:bCs/>
        </w:rPr>
        <w:t xml:space="preserve"> </w:t>
      </w:r>
      <w:r w:rsidR="00A86583" w:rsidRPr="00DA3DBE">
        <w:t xml:space="preserve">Por su parte, el diez de diciembre de </w:t>
      </w:r>
      <w:r w:rsidR="00E54577">
        <w:t>dos mil veintiuno</w:t>
      </w:r>
      <w:r w:rsidR="00A86583" w:rsidRPr="00DA3DBE">
        <w:t xml:space="preserve"> el Poder Ejecutivo de Oaxaca, a través del </w:t>
      </w:r>
      <w:r w:rsidR="00A86583">
        <w:t>Consejero Jurídico</w:t>
      </w:r>
      <w:r w:rsidR="00A86583" w:rsidRPr="003949F9">
        <w:t>, rindió su informe</w:t>
      </w:r>
      <w:r w:rsidR="008B376C">
        <w:t>.</w:t>
      </w:r>
      <w:r w:rsidR="00A86583" w:rsidRPr="003949F9">
        <w:t xml:space="preserve"> </w:t>
      </w:r>
      <w:r w:rsidR="008B376C">
        <w:t>E</w:t>
      </w:r>
      <w:r w:rsidR="00A86583">
        <w:t xml:space="preserve">n </w:t>
      </w:r>
      <w:r w:rsidR="008B376C">
        <w:t>é</w:t>
      </w:r>
      <w:r w:rsidR="00A86583">
        <w:t xml:space="preserve">l únicamente sostuvo la certeza del acto que se le atribuye </w:t>
      </w:r>
      <w:r w:rsidR="00A86583" w:rsidRPr="003949F9">
        <w:t>y remitió el ejemplar del periódico oficial que le fue requerido</w:t>
      </w:r>
      <w:r w:rsidR="00A86583" w:rsidRPr="004438C8">
        <w:rPr>
          <w:rStyle w:val="Refdenotaalpie"/>
        </w:rPr>
        <w:footnoteReference w:id="7"/>
      </w:r>
      <w:r w:rsidR="00A86583" w:rsidRPr="003949F9">
        <w:t>.</w:t>
      </w:r>
    </w:p>
    <w:p w14:paraId="08B9C80E" w14:textId="4FA12519" w:rsidR="00F15FD9" w:rsidRPr="0059627C" w:rsidRDefault="00F15FD9" w:rsidP="00E76501">
      <w:pPr>
        <w:pStyle w:val="Prrafo"/>
        <w:numPr>
          <w:ilvl w:val="0"/>
          <w:numId w:val="6"/>
        </w:numPr>
        <w:ind w:left="0" w:hanging="567"/>
      </w:pPr>
      <w:r w:rsidRPr="0059627C">
        <w:rPr>
          <w:b/>
        </w:rPr>
        <w:t>Alegatos</w:t>
      </w:r>
      <w:r w:rsidR="00A86583">
        <w:rPr>
          <w:b/>
        </w:rPr>
        <w:t xml:space="preserve">. </w:t>
      </w:r>
      <w:r w:rsidR="00A86583" w:rsidRPr="006E23F2">
        <w:t>El</w:t>
      </w:r>
      <w:r w:rsidR="00A86583">
        <w:t xml:space="preserve"> quince de diciembre d</w:t>
      </w:r>
      <w:r w:rsidR="00A86583" w:rsidRPr="008D6E68">
        <w:t xml:space="preserve">e dos mil </w:t>
      </w:r>
      <w:r w:rsidR="00A86583">
        <w:t>veintiuno el ministro instructor puso los autos a vista a las partes para que en el plazo de dos días naturales a partir de que les fuera notificado el acuerdo formularan por escrito sus alegatos</w:t>
      </w:r>
      <w:r w:rsidR="00A86583" w:rsidRPr="004A42BE">
        <w:rPr>
          <w:rStyle w:val="Refdenotaalpie"/>
        </w:rPr>
        <w:footnoteReference w:id="8"/>
      </w:r>
      <w:r w:rsidR="003D6761">
        <w:t>, sin que al vencimiento de ese término alguna de ellas los h</w:t>
      </w:r>
      <w:r w:rsidR="00B31228">
        <w:t>ubiera</w:t>
      </w:r>
      <w:r w:rsidR="003D6761">
        <w:t xml:space="preserve"> formulado</w:t>
      </w:r>
      <w:r w:rsidR="00A86583">
        <w:t>.</w:t>
      </w:r>
    </w:p>
    <w:bookmarkEnd w:id="1"/>
    <w:p w14:paraId="5F7845A4" w14:textId="7B6BD72B" w:rsidR="004F7F25" w:rsidRPr="0059627C" w:rsidRDefault="00F15FD9" w:rsidP="004F7F25">
      <w:pPr>
        <w:pStyle w:val="Prrafo"/>
        <w:numPr>
          <w:ilvl w:val="0"/>
          <w:numId w:val="6"/>
        </w:numPr>
        <w:ind w:left="0" w:hanging="567"/>
      </w:pPr>
      <w:r w:rsidRPr="0059627C">
        <w:rPr>
          <w:b/>
        </w:rPr>
        <w:t>Cierre d</w:t>
      </w:r>
      <w:r w:rsidR="003C4AFA">
        <w:rPr>
          <w:b/>
        </w:rPr>
        <w:t>e</w:t>
      </w:r>
      <w:r w:rsidRPr="0059627C">
        <w:rPr>
          <w:b/>
        </w:rPr>
        <w:t xml:space="preserve"> instrucción.</w:t>
      </w:r>
      <w:r w:rsidRPr="0059627C">
        <w:t xml:space="preserve"> </w:t>
      </w:r>
      <w:r w:rsidR="00A86583" w:rsidRPr="006E23F2">
        <w:t>El</w:t>
      </w:r>
      <w:r w:rsidR="00A86583">
        <w:t xml:space="preserve"> </w:t>
      </w:r>
      <w:r w:rsidR="00A86583" w:rsidRPr="003D6761">
        <w:t>veint</w:t>
      </w:r>
      <w:r w:rsidR="00DB1977" w:rsidRPr="003D6761">
        <w:t>isiete</w:t>
      </w:r>
      <w:r w:rsidR="00A86583">
        <w:t xml:space="preserve"> de enero d</w:t>
      </w:r>
      <w:r w:rsidR="00A86583" w:rsidRPr="008D6E68">
        <w:t xml:space="preserve">e dos mil </w:t>
      </w:r>
      <w:r w:rsidR="00A86583">
        <w:t>veintidós el m</w:t>
      </w:r>
      <w:r w:rsidR="00A86583" w:rsidRPr="006E23F2">
        <w:t>inistro instructor</w:t>
      </w:r>
      <w:r w:rsidR="00A86583">
        <w:t xml:space="preserve"> consideró que el expediente estaba debidamente integrado y</w:t>
      </w:r>
      <w:r w:rsidR="00A86583" w:rsidRPr="006E23F2">
        <w:t xml:space="preserve"> </w:t>
      </w:r>
      <w:r w:rsidR="00A86583" w:rsidRPr="00A86583">
        <w:rPr>
          <w:lang w:val="es-ES_tradnl"/>
        </w:rPr>
        <w:t>cerró la instrucción para el efecto de que se elaborara el proyecto de resolución correspondiente</w:t>
      </w:r>
      <w:r w:rsidR="00A86583" w:rsidRPr="004438C8">
        <w:rPr>
          <w:rStyle w:val="Refdenotaalpie"/>
          <w:lang w:val="es-ES_tradnl"/>
        </w:rPr>
        <w:footnoteReference w:id="9"/>
      </w:r>
      <w:r w:rsidR="00A86583" w:rsidRPr="00A86583">
        <w:rPr>
          <w:lang w:val="es-ES_tradnl"/>
        </w:rPr>
        <w:t>.</w:t>
      </w:r>
    </w:p>
    <w:p w14:paraId="24149D37" w14:textId="77777777" w:rsidR="00F15FD9" w:rsidRPr="0059627C" w:rsidRDefault="00F15FD9" w:rsidP="00E76501">
      <w:pPr>
        <w:pStyle w:val="Ttulo3"/>
        <w:numPr>
          <w:ilvl w:val="0"/>
          <w:numId w:val="7"/>
        </w:numPr>
      </w:pPr>
      <w:r w:rsidRPr="0059627C">
        <w:t>COMPETENCIA</w:t>
      </w:r>
    </w:p>
    <w:p w14:paraId="07E55076" w14:textId="2208913A" w:rsidR="001D4DB0" w:rsidRPr="0059627C" w:rsidRDefault="00A86583" w:rsidP="001D4DB0">
      <w:pPr>
        <w:pStyle w:val="Prrafo"/>
        <w:numPr>
          <w:ilvl w:val="0"/>
          <w:numId w:val="6"/>
        </w:numPr>
        <w:ind w:left="0" w:hanging="567"/>
      </w:pPr>
      <w:r>
        <w:t>El Pleno</w:t>
      </w:r>
      <w:r w:rsidR="002C58C4">
        <w:t xml:space="preserve"> </w:t>
      </w:r>
      <w:r w:rsidR="00F15FD9" w:rsidRPr="0059627C">
        <w:t xml:space="preserve">de la Suprema Corte de Justicia de la Nación </w:t>
      </w:r>
      <w:r w:rsidR="001D4DB0">
        <w:t xml:space="preserve">es competente para resolver la presente acción </w:t>
      </w:r>
      <w:r w:rsidR="001D4DB0" w:rsidRPr="006E23F2">
        <w:t xml:space="preserve">de inconstitucionalidad, de conformidad con los artículos 105, fracción </w:t>
      </w:r>
      <w:r w:rsidR="001D4DB0" w:rsidRPr="005D5579">
        <w:t xml:space="preserve">II, inciso </w:t>
      </w:r>
      <w:r w:rsidR="001D4DB0" w:rsidRPr="00734770">
        <w:t>f),</w:t>
      </w:r>
      <w:r w:rsidR="001D4DB0">
        <w:t xml:space="preserve"> </w:t>
      </w:r>
      <w:r w:rsidR="001D4DB0" w:rsidRPr="006E23F2">
        <w:t>de la</w:t>
      </w:r>
      <w:r w:rsidR="001D4DB0">
        <w:t xml:space="preserve"> </w:t>
      </w:r>
      <w:r w:rsidR="001D4DB0" w:rsidRPr="006E23F2">
        <w:t>Constitución Federal</w:t>
      </w:r>
      <w:r w:rsidR="001D4DB0" w:rsidRPr="00075C84">
        <w:rPr>
          <w:rStyle w:val="Refdenotaalpie"/>
        </w:rPr>
        <w:footnoteReference w:id="10"/>
      </w:r>
      <w:r w:rsidR="001D4DB0" w:rsidRPr="006E23F2">
        <w:t xml:space="preserve">; 1° de la Ley Reglamentaria de las Fracciones I y II del Artículo 105 de la Constitución Política de los Estados Unidos Mexicanos (en </w:t>
      </w:r>
      <w:r w:rsidR="001D4DB0">
        <w:t>lo sucesivo</w:t>
      </w:r>
      <w:r w:rsidR="001D4DB0" w:rsidRPr="006E23F2">
        <w:t xml:space="preserve"> </w:t>
      </w:r>
      <w:r w:rsidR="001D4DB0">
        <w:t>“</w:t>
      </w:r>
      <w:r w:rsidR="001D4DB0" w:rsidRPr="006E23F2">
        <w:t>Ley Reglamentaria</w:t>
      </w:r>
      <w:r w:rsidR="001D4DB0">
        <w:t>”</w:t>
      </w:r>
      <w:r w:rsidR="001D4DB0" w:rsidRPr="006E23F2">
        <w:t>)</w:t>
      </w:r>
      <w:r w:rsidR="001D4DB0" w:rsidRPr="00075C84">
        <w:rPr>
          <w:rStyle w:val="Refdenotaalpie"/>
        </w:rPr>
        <w:footnoteReference w:id="11"/>
      </w:r>
      <w:r w:rsidR="001D4DB0" w:rsidRPr="006E23F2">
        <w:t>, y 10, fracción I, de la Ley Orgánica del Poder Judicial de la Federación</w:t>
      </w:r>
      <w:r w:rsidR="001D4DB0" w:rsidRPr="00075C84">
        <w:rPr>
          <w:rStyle w:val="Refdenotaalpie"/>
        </w:rPr>
        <w:footnoteReference w:id="12"/>
      </w:r>
      <w:r w:rsidR="001D4DB0" w:rsidRPr="006E23F2">
        <w:t xml:space="preserve">, toda vez que </w:t>
      </w:r>
      <w:r w:rsidR="00074F3D">
        <w:t>el</w:t>
      </w:r>
      <w:r w:rsidR="001D4DB0" w:rsidRPr="006E23F2">
        <w:t xml:space="preserve"> promovente plantea la posible contradicción entre </w:t>
      </w:r>
      <w:r w:rsidR="001D4DB0">
        <w:t>una disposición</w:t>
      </w:r>
      <w:r w:rsidR="001D4DB0" w:rsidRPr="006E23F2">
        <w:t xml:space="preserve"> </w:t>
      </w:r>
      <w:r w:rsidR="001D4DB0">
        <w:t xml:space="preserve">de carácter general emitida por el Poder Legislativo de una entidad federativa </w:t>
      </w:r>
      <w:r w:rsidR="001D4DB0" w:rsidRPr="006E23F2">
        <w:t>y la Constitución Federal.</w:t>
      </w:r>
    </w:p>
    <w:p w14:paraId="0F0D0F08" w14:textId="563F707E" w:rsidR="00F15FD9" w:rsidRPr="0059627C" w:rsidRDefault="00DB27A7" w:rsidP="00F15FD9">
      <w:pPr>
        <w:pStyle w:val="Prrafo"/>
        <w:numPr>
          <w:ilvl w:val="0"/>
          <w:numId w:val="6"/>
        </w:numPr>
        <w:ind w:left="0" w:hanging="567"/>
      </w:pPr>
      <w:r w:rsidRPr="0059627C">
        <w:t xml:space="preserve">Estas consideraciones son obligatorias al haberse aprobado por </w:t>
      </w:r>
      <w:r w:rsidR="00780461" w:rsidRPr="006C4C26">
        <w:t>unanimidad de diez</w:t>
      </w:r>
      <w:r w:rsidR="00780461">
        <w:t xml:space="preserve"> votos. </w:t>
      </w:r>
    </w:p>
    <w:p w14:paraId="030655B7" w14:textId="77D4372B" w:rsidR="00F15FD9" w:rsidRPr="0059627C" w:rsidRDefault="00F15FD9" w:rsidP="00E76501">
      <w:pPr>
        <w:pStyle w:val="Ttulo3"/>
        <w:numPr>
          <w:ilvl w:val="0"/>
          <w:numId w:val="7"/>
        </w:numPr>
      </w:pPr>
      <w:r w:rsidRPr="0059627C">
        <w:t>PRECISIÓN DE LAS NORMAS RECLAMADAS</w:t>
      </w:r>
    </w:p>
    <w:p w14:paraId="4E4CE15C" w14:textId="77777777" w:rsidR="00AB4F4E" w:rsidRDefault="00A576B8" w:rsidP="007E3C18">
      <w:pPr>
        <w:pStyle w:val="Prrafo"/>
        <w:numPr>
          <w:ilvl w:val="0"/>
          <w:numId w:val="6"/>
        </w:numPr>
        <w:ind w:left="0" w:hanging="567"/>
      </w:pPr>
      <w:bookmarkStart w:id="2" w:name="_Hlk45891706"/>
      <w:r w:rsidRPr="00A576B8">
        <w:t xml:space="preserve">De acuerdo con </w:t>
      </w:r>
      <w:r w:rsidRPr="00A576B8">
        <w:rPr>
          <w:bCs/>
        </w:rPr>
        <w:t>lo dispuesto en la fracción I del artículo 41 y 73 de la Ley Reglamentaria</w:t>
      </w:r>
      <w:r w:rsidRPr="00511B75">
        <w:rPr>
          <w:vertAlign w:val="superscript"/>
        </w:rPr>
        <w:footnoteReference w:id="13"/>
      </w:r>
      <w:r w:rsidR="00A96275" w:rsidRPr="00A576B8">
        <w:rPr>
          <w:bCs/>
        </w:rPr>
        <w:t>,</w:t>
      </w:r>
      <w:r w:rsidR="00A96275">
        <w:rPr>
          <w:bCs/>
        </w:rPr>
        <w:t xml:space="preserve"> </w:t>
      </w:r>
      <w:r w:rsidR="005B0E96">
        <w:rPr>
          <w:bCs/>
        </w:rPr>
        <w:t>debe</w:t>
      </w:r>
      <w:r w:rsidR="00E7171A">
        <w:rPr>
          <w:bCs/>
        </w:rPr>
        <w:t>n</w:t>
      </w:r>
      <w:r w:rsidRPr="00A576B8">
        <w:rPr>
          <w:bCs/>
        </w:rPr>
        <w:t xml:space="preserve"> precisar</w:t>
      </w:r>
      <w:r w:rsidR="005B0E96">
        <w:rPr>
          <w:bCs/>
        </w:rPr>
        <w:t>se</w:t>
      </w:r>
      <w:r w:rsidRPr="00A576B8">
        <w:rPr>
          <w:bCs/>
        </w:rPr>
        <w:t xml:space="preserve"> las normas generales </w:t>
      </w:r>
      <w:r w:rsidRPr="00A576B8">
        <w:t xml:space="preserve">que </w:t>
      </w:r>
      <w:r w:rsidRPr="00A576B8">
        <w:rPr>
          <w:bCs/>
        </w:rPr>
        <w:t>son objeto de la presente acción de inconstitucionalidad</w:t>
      </w:r>
      <w:r w:rsidRPr="00A576B8">
        <w:t xml:space="preserve">. </w:t>
      </w:r>
      <w:r w:rsidR="005B0E96">
        <w:t>E</w:t>
      </w:r>
      <w:r w:rsidRPr="00A576B8">
        <w:t xml:space="preserve">l partido político </w:t>
      </w:r>
      <w:r w:rsidR="005B0E96">
        <w:t>accionante</w:t>
      </w:r>
      <w:r w:rsidRPr="00A576B8">
        <w:t xml:space="preserve"> impugnó</w:t>
      </w:r>
      <w:r w:rsidR="00AB4F4E">
        <w:t>:</w:t>
      </w:r>
    </w:p>
    <w:p w14:paraId="3D3CA9A8" w14:textId="77A5CBBE" w:rsidR="00D87C34" w:rsidRPr="0059627C" w:rsidRDefault="00AB4F4E" w:rsidP="00AB4F4E">
      <w:pPr>
        <w:pStyle w:val="Prrafo"/>
        <w:numPr>
          <w:ilvl w:val="1"/>
          <w:numId w:val="6"/>
        </w:numPr>
      </w:pPr>
      <w:r>
        <w:rPr>
          <w:bCs/>
        </w:rPr>
        <w:t>E</w:t>
      </w:r>
      <w:r w:rsidR="00A576B8" w:rsidRPr="007E3C18">
        <w:rPr>
          <w:bCs/>
        </w:rPr>
        <w:t xml:space="preserve">l </w:t>
      </w:r>
      <w:r w:rsidR="00A576B8" w:rsidRPr="00A576B8">
        <w:t>Decreto No. 2617</w:t>
      </w:r>
      <w:r w:rsidR="007E3C18">
        <w:t>,</w:t>
      </w:r>
      <w:r w:rsidR="00D87C34">
        <w:t xml:space="preserve"> </w:t>
      </w:r>
      <w:r w:rsidR="00A576B8" w:rsidRPr="00A576B8">
        <w:t>publicado en el Periódico Oficial del Estado de Oaxaca el dieciocho de septiembre de dos mil veintiuno</w:t>
      </w:r>
      <w:r w:rsidR="007E3C18">
        <w:t>,</w:t>
      </w:r>
      <w:r w:rsidR="00D87C34">
        <w:t xml:space="preserve"> </w:t>
      </w:r>
      <w:r w:rsidR="007E3C18">
        <w:t>por medio del cual se</w:t>
      </w:r>
      <w:r w:rsidR="00D87C34">
        <w:t xml:space="preserve"> reformó </w:t>
      </w:r>
      <w:r w:rsidR="00D87C34" w:rsidRPr="00A576B8">
        <w:t>el primer párrafo del artículo 114 de la Constitución de Oaxaca</w:t>
      </w:r>
      <w:r w:rsidR="00D87C34">
        <w:t>.</w:t>
      </w:r>
    </w:p>
    <w:bookmarkEnd w:id="2"/>
    <w:p w14:paraId="7D4C4794" w14:textId="77777777" w:rsidR="00F15FD9" w:rsidRPr="0059627C" w:rsidRDefault="00F15FD9" w:rsidP="00E76501">
      <w:pPr>
        <w:pStyle w:val="Ttulo3"/>
        <w:numPr>
          <w:ilvl w:val="0"/>
          <w:numId w:val="7"/>
        </w:numPr>
      </w:pPr>
      <w:r w:rsidRPr="0059627C">
        <w:t>OPORTUNIDAD</w:t>
      </w:r>
    </w:p>
    <w:p w14:paraId="75363741" w14:textId="60312E22" w:rsidR="00F15FD9" w:rsidRPr="0059627C" w:rsidRDefault="00F15FD9" w:rsidP="001D4DB0">
      <w:pPr>
        <w:pStyle w:val="Prrafo"/>
        <w:numPr>
          <w:ilvl w:val="0"/>
          <w:numId w:val="6"/>
        </w:numPr>
        <w:ind w:left="0" w:hanging="567"/>
      </w:pPr>
      <w:bookmarkStart w:id="3" w:name="_Hlk45890931"/>
      <w:r w:rsidRPr="0059627C">
        <w:t>Conforme al artículo 60</w:t>
      </w:r>
      <w:r w:rsidR="001D4DB0">
        <w:t xml:space="preserve"> </w:t>
      </w:r>
      <w:r w:rsidRPr="0059627C">
        <w:t xml:space="preserve">de la Ley </w:t>
      </w:r>
      <w:r w:rsidR="001D4DB0" w:rsidRPr="006E23F2">
        <w:t>Reglamentaria</w:t>
      </w:r>
      <w:r w:rsidR="001D4DB0" w:rsidRPr="006E23F2">
        <w:rPr>
          <w:rStyle w:val="Refdenotaalpie"/>
        </w:rPr>
        <w:footnoteReference w:id="14"/>
      </w:r>
      <w:r w:rsidRPr="0059627C">
        <w:t>, el plazo para promover acción de inconstitucionalidad es de treinta días naturales, computados a partir del día siguiente a la fecha en que la norma general sea publicada en el medio oficial correspondiente.</w:t>
      </w:r>
      <w:r w:rsidR="001D4DB0">
        <w:t xml:space="preserve"> </w:t>
      </w:r>
      <w:r w:rsidR="001D4DB0" w:rsidRPr="001D4DB0">
        <w:t>Ese mismo precepto dispone, además, que en materia electoral todos los días son hábiles para efectos del cómputo de los plazos. Dado que el decreto impugnado se publicó en el Periódico Oficial del Estado de Oaxaca el dieciocho de septiembre de dos mil veintiuno, el plazo señalado inició el diecinueve de septiembre y venció el dieciocho de octubre siguiente. Si la demanda se presentó el dieciocho de octubre de dos mil veintiuno</w:t>
      </w:r>
      <w:r w:rsidR="00DC3159">
        <w:t>,</w:t>
      </w:r>
      <w:r w:rsidR="001D4DB0" w:rsidRPr="001D4DB0">
        <w:t xml:space="preserve"> es evidente que la acción de inconstitucionalidad se promovió de manera oportuna.</w:t>
      </w:r>
    </w:p>
    <w:p w14:paraId="66BD9D4C" w14:textId="44367385" w:rsidR="00F15FD9" w:rsidRPr="0059627C" w:rsidRDefault="00780461" w:rsidP="00780461">
      <w:pPr>
        <w:pStyle w:val="Prrafo"/>
        <w:numPr>
          <w:ilvl w:val="0"/>
          <w:numId w:val="6"/>
        </w:numPr>
        <w:ind w:left="0" w:hanging="567"/>
      </w:pPr>
      <w:r w:rsidRPr="0059627C">
        <w:t xml:space="preserve">Estas consideraciones son obligatorias al haberse aprobado por </w:t>
      </w:r>
      <w:r>
        <w:t xml:space="preserve">unanimidad de diez votos. </w:t>
      </w:r>
    </w:p>
    <w:bookmarkEnd w:id="3"/>
    <w:p w14:paraId="13484A46" w14:textId="77777777" w:rsidR="00F15FD9" w:rsidRPr="0059627C" w:rsidRDefault="00E76501" w:rsidP="00E76501">
      <w:pPr>
        <w:pStyle w:val="Ttulo3"/>
        <w:numPr>
          <w:ilvl w:val="0"/>
          <w:numId w:val="7"/>
        </w:numPr>
        <w:ind w:left="0" w:firstLine="0"/>
      </w:pPr>
      <w:r w:rsidRPr="0059627C">
        <w:t xml:space="preserve"> LE</w:t>
      </w:r>
      <w:r w:rsidR="00F15FD9" w:rsidRPr="0059627C">
        <w:t>GITIMACIÓN</w:t>
      </w:r>
    </w:p>
    <w:p w14:paraId="09345EBF" w14:textId="77777777" w:rsidR="001D4DB0" w:rsidRPr="009C7365" w:rsidRDefault="001D4DB0" w:rsidP="001D4DB0">
      <w:pPr>
        <w:pStyle w:val="Prrafo"/>
        <w:numPr>
          <w:ilvl w:val="0"/>
          <w:numId w:val="6"/>
        </w:numPr>
        <w:ind w:left="0" w:hanging="567"/>
      </w:pPr>
      <w:bookmarkStart w:id="4" w:name="_Hlk45890947"/>
      <w:r w:rsidRPr="009C7365">
        <w:t>El artículo 105, fracción II, inciso f), de la Constitución Federal dispone que los partidos políticos con registro en una entidad federativa cuentan con legitimación para promover acciones de inconstitucionalidad en contra de leyes electorales expedidas por la Legislatura de la entidad federativa que les otorgó el registro, siempre que lo hagan a por conducto de sus dirigencias. A su vez, en términos de los artículos 11 y 59 de la Ley Reglamentaria</w:t>
      </w:r>
      <w:r w:rsidRPr="009C7365">
        <w:rPr>
          <w:rStyle w:val="Refdenotaalpie"/>
        </w:rPr>
        <w:footnoteReference w:id="15"/>
      </w:r>
      <w:r w:rsidRPr="009C7365">
        <w:t>, dichos órganos deben comparecer por conducto de los funcionarios facultados legalmente para representarlos y, en todo caso, se debe presumir que el funcionario quien comparece goza de la representación legal y cuenta con la capacidad para hacerlo, salvo prueba en contrario.</w:t>
      </w:r>
    </w:p>
    <w:p w14:paraId="15111902" w14:textId="76620485" w:rsidR="001D4DB0" w:rsidRDefault="001D4DB0" w:rsidP="001D4DB0">
      <w:pPr>
        <w:pStyle w:val="Prrafo"/>
        <w:numPr>
          <w:ilvl w:val="0"/>
          <w:numId w:val="6"/>
        </w:numPr>
        <w:ind w:left="0" w:hanging="567"/>
      </w:pPr>
      <w:r w:rsidRPr="001D4DB0">
        <w:t xml:space="preserve">En el presente caso </w:t>
      </w:r>
      <w:r w:rsidR="009F090E">
        <w:t xml:space="preserve">se surte la legitimación. </w:t>
      </w:r>
      <w:r w:rsidR="009F090E" w:rsidRPr="001D4DB0">
        <w:t>E</w:t>
      </w:r>
      <w:r w:rsidRPr="001D4DB0">
        <w:t>l</w:t>
      </w:r>
      <w:r w:rsidR="009F090E">
        <w:t xml:space="preserve"> </w:t>
      </w:r>
      <w:r w:rsidRPr="001D4DB0">
        <w:t xml:space="preserve">Partido Nueva Alianza Oaxaca es un partido político con registro ante el </w:t>
      </w:r>
      <w:r w:rsidRPr="001D4DB0">
        <w:rPr>
          <w:lang w:eastAsia="es-MX"/>
        </w:rPr>
        <w:t>Instituto Estatal Electoral y de Participación Ciudadana de Oaxaca</w:t>
      </w:r>
      <w:r w:rsidR="009F090E">
        <w:t xml:space="preserve"> y</w:t>
      </w:r>
      <w:r w:rsidRPr="001D4DB0">
        <w:t xml:space="preserve"> comparece por conducto de su dirigencia, pues la demanda fue suscrita por </w:t>
      </w:r>
      <w:bookmarkStart w:id="5" w:name="_Hlk92738183"/>
      <w:r w:rsidRPr="001D4DB0">
        <w:t>Angélica Juárez Pérez</w:t>
      </w:r>
      <w:bookmarkEnd w:id="5"/>
      <w:r w:rsidRPr="00DF0C22">
        <w:rPr>
          <w:rStyle w:val="Refdenotaalpie"/>
        </w:rPr>
        <w:footnoteReference w:id="16"/>
      </w:r>
      <w:r w:rsidRPr="001D4DB0">
        <w:t>, en su calidad de Presidenta del Comité de Dirección Estatal, a quien le corresponde la representación legal del partido político de acuerdo con el artículo 51 de su Estatuto</w:t>
      </w:r>
      <w:r w:rsidRPr="00D47C03">
        <w:rPr>
          <w:rStyle w:val="Refdenotaalpie"/>
        </w:rPr>
        <w:footnoteReference w:id="17"/>
      </w:r>
      <w:r w:rsidRPr="001D4DB0">
        <w:t xml:space="preserve">. </w:t>
      </w:r>
      <w:r w:rsidR="009F090E">
        <w:t>La dirigente a</w:t>
      </w:r>
      <w:r w:rsidRPr="001D4DB0">
        <w:t>credita su person</w:t>
      </w:r>
      <w:r w:rsidR="009F090E">
        <w:t>ería</w:t>
      </w:r>
      <w:r w:rsidRPr="001D4DB0">
        <w:t xml:space="preserve"> con copias certificadas de la integración de la Dirigencia del Partido Nueva Alianza Oaxaca para el periodo 2020-2023, expedidas por el Secretario Ejecutivo del </w:t>
      </w:r>
      <w:r w:rsidRPr="001D4DB0">
        <w:rPr>
          <w:lang w:eastAsia="es-MX"/>
        </w:rPr>
        <w:t>Instituto Estatal Electoral y de Participación Ciudadana de Oaxaca</w:t>
      </w:r>
      <w:r w:rsidRPr="00EF6DB1">
        <w:rPr>
          <w:rStyle w:val="Refdenotaalpie"/>
        </w:rPr>
        <w:footnoteReference w:id="18"/>
      </w:r>
      <w:r w:rsidRPr="001D4DB0">
        <w:t xml:space="preserve">. </w:t>
      </w:r>
    </w:p>
    <w:p w14:paraId="4C8AF5B3" w14:textId="295F7869" w:rsidR="00463FEA" w:rsidRPr="0059627C" w:rsidRDefault="00780461" w:rsidP="00780461">
      <w:pPr>
        <w:pStyle w:val="Prrafo"/>
        <w:numPr>
          <w:ilvl w:val="0"/>
          <w:numId w:val="6"/>
        </w:numPr>
        <w:ind w:left="0" w:hanging="567"/>
      </w:pPr>
      <w:r w:rsidRPr="0059627C">
        <w:t xml:space="preserve">Estas consideraciones son obligatorias al haberse aprobado por </w:t>
      </w:r>
      <w:r>
        <w:t xml:space="preserve">unanimidad de diez votos. </w:t>
      </w:r>
    </w:p>
    <w:bookmarkEnd w:id="4"/>
    <w:p w14:paraId="783A27D4" w14:textId="11CCBE6E" w:rsidR="00181E4B" w:rsidRPr="0059627C" w:rsidRDefault="00E76501" w:rsidP="00D979CE">
      <w:pPr>
        <w:pStyle w:val="Ttulo3"/>
        <w:numPr>
          <w:ilvl w:val="0"/>
          <w:numId w:val="7"/>
        </w:numPr>
        <w:ind w:left="0" w:firstLine="0"/>
      </w:pPr>
      <w:r w:rsidRPr="0059627C">
        <w:t xml:space="preserve"> </w:t>
      </w:r>
      <w:r w:rsidR="00F15FD9" w:rsidRPr="0059627C">
        <w:t>CAUSA DE IMPROCEDENCIA</w:t>
      </w:r>
    </w:p>
    <w:p w14:paraId="31B17053" w14:textId="2D81FF94" w:rsidR="00181E4B" w:rsidRDefault="000E0932" w:rsidP="00181E4B">
      <w:pPr>
        <w:pStyle w:val="Prrafo"/>
      </w:pPr>
      <w:r>
        <w:rPr>
          <w:b/>
          <w:bCs/>
        </w:rPr>
        <w:t xml:space="preserve">V.1 </w:t>
      </w:r>
      <w:r w:rsidR="00A90CD4">
        <w:rPr>
          <w:b/>
          <w:bCs/>
        </w:rPr>
        <w:t>¿El artículo 114 de la Constitución de Oaxaca constituye una norma general</w:t>
      </w:r>
      <w:r w:rsidR="00181E4B">
        <w:rPr>
          <w:b/>
          <w:bCs/>
        </w:rPr>
        <w:t xml:space="preserve"> de naturaleza electoral</w:t>
      </w:r>
      <w:bookmarkStart w:id="6" w:name="_Hlk77066971"/>
      <w:r w:rsidR="00A90CD4">
        <w:rPr>
          <w:b/>
          <w:bCs/>
        </w:rPr>
        <w:t>?</w:t>
      </w:r>
    </w:p>
    <w:p w14:paraId="7B49468C" w14:textId="20A7E27E" w:rsidR="00327542" w:rsidRDefault="00D979CE" w:rsidP="00181E4B">
      <w:pPr>
        <w:pStyle w:val="Prrafo"/>
        <w:numPr>
          <w:ilvl w:val="0"/>
          <w:numId w:val="6"/>
        </w:numPr>
        <w:ind w:left="0" w:hanging="567"/>
      </w:pPr>
      <w:r w:rsidRPr="00181E4B">
        <w:t>El Poder Legislativo de Oaxaca invoc</w:t>
      </w:r>
      <w:r>
        <w:t>a</w:t>
      </w:r>
      <w:r w:rsidRPr="00181E4B">
        <w:t xml:space="preserve"> en su informe la actualización de la causa de improcedencia prevista en los artículos 19, fracción VIII</w:t>
      </w:r>
      <w:r w:rsidRPr="006E23F2">
        <w:rPr>
          <w:rStyle w:val="Refdenotaalpie"/>
        </w:rPr>
        <w:footnoteReference w:id="19"/>
      </w:r>
      <w:r w:rsidRPr="00181E4B">
        <w:t>, y 59</w:t>
      </w:r>
      <w:r w:rsidRPr="004438C8">
        <w:rPr>
          <w:rStyle w:val="Refdenotaalpie"/>
        </w:rPr>
        <w:footnoteReference w:id="20"/>
      </w:r>
      <w:r w:rsidRPr="00181E4B">
        <w:t xml:space="preserve"> de la Ley Reglamentaria, en relación con el artículo 105, fracción II, inciso f), de la Constitución Federal</w:t>
      </w:r>
      <w:r w:rsidRPr="004438C8">
        <w:rPr>
          <w:rStyle w:val="Refdenotaalpie"/>
        </w:rPr>
        <w:footnoteReference w:id="21"/>
      </w:r>
      <w:r>
        <w:t>.</w:t>
      </w:r>
      <w:r w:rsidRPr="00181E4B">
        <w:t xml:space="preserve"> </w:t>
      </w:r>
      <w:r>
        <w:t>E</w:t>
      </w:r>
      <w:r w:rsidRPr="00181E4B">
        <w:t>n su concepto</w:t>
      </w:r>
      <w:r>
        <w:t>,</w:t>
      </w:r>
      <w:r w:rsidRPr="00181E4B">
        <w:t xml:space="preserve"> la norma general impugnada no corresponde a la materia electoral y, por consiguiente, el partido promovente carece de legitimación para promover la acción de inconstitucionalidad</w:t>
      </w:r>
      <w:r w:rsidRPr="00EF6DB1">
        <w:rPr>
          <w:rStyle w:val="Refdenotaalpie"/>
        </w:rPr>
        <w:footnoteReference w:id="22"/>
      </w:r>
      <w:r w:rsidRPr="00181E4B">
        <w:t>.</w:t>
      </w:r>
      <w:r>
        <w:t xml:space="preserve"> Explica</w:t>
      </w:r>
      <w:r w:rsidRPr="00181E4B">
        <w:t xml:space="preserve"> que el artículo 114 de la Constitución de Oaxaca no regula las reglas y procedimientos de los procesos electorales</w:t>
      </w:r>
      <w:r>
        <w:t>,</w:t>
      </w:r>
      <w:r w:rsidRPr="00181E4B">
        <w:t xml:space="preserve"> </w:t>
      </w:r>
      <w:r>
        <w:t>ni tampoco</w:t>
      </w:r>
      <w:r w:rsidRPr="00181E4B">
        <w:t xml:space="preserve"> los mecanismos de nombramiento e integración del Instituto Estatal Electoral </w:t>
      </w:r>
      <w:r w:rsidR="009E6B08">
        <w:t>o</w:t>
      </w:r>
      <w:r w:rsidRPr="00181E4B">
        <w:t xml:space="preserve"> del Tribunal Electoral Local de Oaxaca.</w:t>
      </w:r>
      <w:r w:rsidR="00327542">
        <w:t xml:space="preserve"> </w:t>
      </w:r>
    </w:p>
    <w:p w14:paraId="6CEF4328" w14:textId="2763169A" w:rsidR="00D979CE" w:rsidRDefault="001577D8" w:rsidP="00181E4B">
      <w:pPr>
        <w:pStyle w:val="Prrafo"/>
        <w:numPr>
          <w:ilvl w:val="0"/>
          <w:numId w:val="6"/>
        </w:numPr>
        <w:ind w:left="0" w:hanging="567"/>
      </w:pPr>
      <w:r>
        <w:t>L</w:t>
      </w:r>
      <w:r w:rsidR="00181E4B" w:rsidRPr="00181E4B">
        <w:t xml:space="preserve">a causa de improcedencia invocada </w:t>
      </w:r>
      <w:r w:rsidR="00181E4B" w:rsidRPr="00181E4B">
        <w:rPr>
          <w:b/>
        </w:rPr>
        <w:t>debe desestimarse</w:t>
      </w:r>
      <w:r w:rsidR="00327542">
        <w:t>.</w:t>
      </w:r>
      <w:r w:rsidR="00181E4B" w:rsidRPr="00181E4B">
        <w:t xml:space="preserve"> </w:t>
      </w:r>
      <w:r w:rsidR="00327542">
        <w:t xml:space="preserve">Contra lo que sostiene la autoridad demandada, el artículo 114 </w:t>
      </w:r>
      <w:r w:rsidR="00327542" w:rsidRPr="00181E4B">
        <w:t>de la Constitución de Oaxaca</w:t>
      </w:r>
      <w:r w:rsidR="00327542">
        <w:t xml:space="preserve"> </w:t>
      </w:r>
      <w:r w:rsidR="00FB7A89">
        <w:t xml:space="preserve">sí </w:t>
      </w:r>
      <w:r w:rsidR="00327542">
        <w:t xml:space="preserve">representa </w:t>
      </w:r>
      <w:r>
        <w:t>una norma en materia electoral</w:t>
      </w:r>
      <w:r w:rsidR="00327542">
        <w:t xml:space="preserve"> para efectos de la procedencia de la acción de inconstitucionalidad</w:t>
      </w:r>
      <w:r w:rsidR="00AC522B">
        <w:t>, pues</w:t>
      </w:r>
      <w:r w:rsidR="00CC53C3">
        <w:t xml:space="preserve"> al establecer</w:t>
      </w:r>
      <w:r w:rsidR="00FB57A3">
        <w:t xml:space="preserve"> genéricamente</w:t>
      </w:r>
      <w:r w:rsidR="00CC53C3">
        <w:t xml:space="preserve"> la obligación de los órganos constitucionales autónomos locales de rendir </w:t>
      </w:r>
      <w:r w:rsidR="00033198">
        <w:t xml:space="preserve">a través de sus titulares </w:t>
      </w:r>
      <w:r w:rsidR="00CC53C3">
        <w:t>un informe ante el Congreso del Estado</w:t>
      </w:r>
      <w:r w:rsidR="00033198">
        <w:t xml:space="preserve"> de Oaxaca</w:t>
      </w:r>
      <w:r w:rsidR="00CC53C3">
        <w:t>,</w:t>
      </w:r>
      <w:r w:rsidR="00AC522B">
        <w:t xml:space="preserve"> </w:t>
      </w:r>
      <w:r w:rsidR="00127007">
        <w:t xml:space="preserve">la disposición </w:t>
      </w:r>
      <w:r w:rsidR="00CC53C3">
        <w:t>puede tener incidencia en</w:t>
      </w:r>
      <w:r w:rsidR="00AC522B">
        <w:t xml:space="preserve"> la actuación de los órganos</w:t>
      </w:r>
      <w:r w:rsidR="00CC53C3">
        <w:t xml:space="preserve"> administrativos y jurisdiccionales</w:t>
      </w:r>
      <w:r w:rsidR="00FB57A3">
        <w:t xml:space="preserve"> locales</w:t>
      </w:r>
      <w:r w:rsidR="00AC522B">
        <w:t xml:space="preserve"> encargados de velar por la legalidad de los procesos electorales en dicha entidad federativa</w:t>
      </w:r>
      <w:r>
        <w:t>.</w:t>
      </w:r>
    </w:p>
    <w:p w14:paraId="6B06C1DD" w14:textId="35BE8184" w:rsidR="004F52FC" w:rsidRDefault="00C55B74" w:rsidP="002457CE">
      <w:pPr>
        <w:pStyle w:val="Prrafo"/>
        <w:numPr>
          <w:ilvl w:val="0"/>
          <w:numId w:val="6"/>
        </w:numPr>
        <w:ind w:left="0" w:hanging="567"/>
      </w:pPr>
      <w:r>
        <w:t>Por una parte</w:t>
      </w:r>
      <w:r w:rsidR="00D979CE">
        <w:t xml:space="preserve">, </w:t>
      </w:r>
      <w:r w:rsidR="00416B5E">
        <w:t>l</w:t>
      </w:r>
      <w:r w:rsidR="002457CE">
        <w:t>a</w:t>
      </w:r>
      <w:r w:rsidR="00181E4B" w:rsidRPr="00181E4B">
        <w:t xml:space="preserve"> </w:t>
      </w:r>
      <w:r w:rsidR="002457CE">
        <w:t>Suprema Corte</w:t>
      </w:r>
      <w:r w:rsidR="005C661F">
        <w:t xml:space="preserve"> ya ha</w:t>
      </w:r>
      <w:r w:rsidR="00181E4B" w:rsidRPr="00181E4B">
        <w:t xml:space="preserve"> analiza</w:t>
      </w:r>
      <w:r w:rsidR="005C661F">
        <w:t>do</w:t>
      </w:r>
      <w:r w:rsidR="0082705D">
        <w:t xml:space="preserve"> a través de </w:t>
      </w:r>
      <w:r w:rsidR="00416B5E">
        <w:t>este</w:t>
      </w:r>
      <w:r w:rsidR="0082705D">
        <w:t xml:space="preserve"> medio de impugnación</w:t>
      </w:r>
      <w:r w:rsidR="00A15130">
        <w:t xml:space="preserve"> </w:t>
      </w:r>
      <w:r w:rsidR="00181E4B" w:rsidRPr="00181E4B">
        <w:t>la constitucionalidad del artículo 114 de la Constitución de Oaxaca</w:t>
      </w:r>
      <w:r w:rsidR="00C70F18">
        <w:t>,</w:t>
      </w:r>
      <w:r w:rsidR="0082705D">
        <w:t xml:space="preserve"> específicamente</w:t>
      </w:r>
      <w:r w:rsidR="00C70F18">
        <w:t>,</w:t>
      </w:r>
      <w:r w:rsidR="00657AF2">
        <w:t xml:space="preserve"> por obligar a los órganos autónomos del Estado a rendir un informe ante el Congreso local</w:t>
      </w:r>
      <w:r w:rsidR="00416B5E">
        <w:t xml:space="preserve">, y ha considerado que </w:t>
      </w:r>
      <w:r w:rsidR="00471F2C">
        <w:t>tal</w:t>
      </w:r>
      <w:r w:rsidR="00416B5E">
        <w:t xml:space="preserve"> norma </w:t>
      </w:r>
      <w:r w:rsidR="00471F2C">
        <w:t>es</w:t>
      </w:r>
      <w:r w:rsidR="00416B5E">
        <w:t xml:space="preserve"> electoral para efectos de la procedencia de la acción de inconstitucionalidad</w:t>
      </w:r>
      <w:r w:rsidR="00181E4B" w:rsidRPr="00181E4B">
        <w:t xml:space="preserve">. </w:t>
      </w:r>
      <w:r w:rsidR="00F9446F">
        <w:t>A</w:t>
      </w:r>
      <w:r w:rsidR="00181E4B" w:rsidRPr="00181E4B">
        <w:t xml:space="preserve">l fallar </w:t>
      </w:r>
      <w:r w:rsidR="00181E4B" w:rsidRPr="00181E4B">
        <w:rPr>
          <w:bCs/>
        </w:rPr>
        <w:t xml:space="preserve">la </w:t>
      </w:r>
      <w:r w:rsidR="00181E4B" w:rsidRPr="00181E4B">
        <w:rPr>
          <w:b/>
          <w:bCs/>
        </w:rPr>
        <w:t>acción de inconstitucionalidad 53/2015 y sus acumuladas</w:t>
      </w:r>
      <w:r w:rsidR="00181E4B">
        <w:rPr>
          <w:rStyle w:val="Refdenotaalpie"/>
          <w:bCs/>
        </w:rPr>
        <w:footnoteReference w:id="23"/>
      </w:r>
      <w:r w:rsidR="00181E4B" w:rsidRPr="00181E4B">
        <w:rPr>
          <w:bCs/>
        </w:rPr>
        <w:t xml:space="preserve">, </w:t>
      </w:r>
      <w:r w:rsidR="00922E85">
        <w:rPr>
          <w:bCs/>
        </w:rPr>
        <w:t>promovidas por diversos partidos políticos</w:t>
      </w:r>
      <w:r w:rsidR="00416B5E">
        <w:rPr>
          <w:bCs/>
        </w:rPr>
        <w:t xml:space="preserve"> locales y nacionales</w:t>
      </w:r>
      <w:r w:rsidR="00FC35DB">
        <w:rPr>
          <w:bCs/>
        </w:rPr>
        <w:t xml:space="preserve"> contra diversas disposiciones de la Constitución de Oaxaca</w:t>
      </w:r>
      <w:r w:rsidR="00922E85">
        <w:rPr>
          <w:bCs/>
        </w:rPr>
        <w:t xml:space="preserve">, </w:t>
      </w:r>
      <w:r w:rsidR="005C661F">
        <w:rPr>
          <w:bCs/>
        </w:rPr>
        <w:t>el Tribunal Pleno</w:t>
      </w:r>
      <w:r w:rsidR="00922E85">
        <w:rPr>
          <w:bCs/>
        </w:rPr>
        <w:t xml:space="preserve"> </w:t>
      </w:r>
      <w:r w:rsidR="00181E4B" w:rsidRPr="00181E4B">
        <w:rPr>
          <w:bCs/>
        </w:rPr>
        <w:t>determinó que la acción</w:t>
      </w:r>
      <w:r w:rsidR="00AC2592">
        <w:rPr>
          <w:bCs/>
        </w:rPr>
        <w:t xml:space="preserve"> de inconstitucionalidad</w:t>
      </w:r>
      <w:r w:rsidR="00181E4B" w:rsidRPr="00181E4B">
        <w:rPr>
          <w:bCs/>
        </w:rPr>
        <w:t xml:space="preserve"> </w:t>
      </w:r>
      <w:r w:rsidR="00951488">
        <w:rPr>
          <w:bCs/>
        </w:rPr>
        <w:t xml:space="preserve">promovida </w:t>
      </w:r>
      <w:r w:rsidR="0082705D">
        <w:rPr>
          <w:bCs/>
        </w:rPr>
        <w:t>contra es</w:t>
      </w:r>
      <w:r w:rsidR="0054650F">
        <w:rPr>
          <w:bCs/>
        </w:rPr>
        <w:t>t</w:t>
      </w:r>
      <w:r w:rsidR="0082705D">
        <w:rPr>
          <w:bCs/>
        </w:rPr>
        <w:t>e precepto</w:t>
      </w:r>
      <w:r w:rsidR="00951488">
        <w:rPr>
          <w:bCs/>
        </w:rPr>
        <w:t xml:space="preserve"> por el partido Movimiento de Regeneración Nacional (MORENA) era procedente</w:t>
      </w:r>
      <w:r w:rsidR="00181E4B" w:rsidRPr="00181E4B">
        <w:rPr>
          <w:bCs/>
        </w:rPr>
        <w:t xml:space="preserve"> y analizó el fondo de la cuestión planteada</w:t>
      </w:r>
      <w:r w:rsidR="00181E4B" w:rsidRPr="00181E4B">
        <w:t xml:space="preserve">. </w:t>
      </w:r>
    </w:p>
    <w:p w14:paraId="1968EAAE" w14:textId="28E5C8D7" w:rsidR="004F52FC" w:rsidRDefault="005C661F" w:rsidP="004F52FC">
      <w:pPr>
        <w:pStyle w:val="Prrafo"/>
        <w:numPr>
          <w:ilvl w:val="0"/>
          <w:numId w:val="6"/>
        </w:numPr>
        <w:ind w:left="0" w:hanging="567"/>
      </w:pPr>
      <w:r>
        <w:t>Si bien en aqu</w:t>
      </w:r>
      <w:r w:rsidR="0082705D">
        <w:t>e</w:t>
      </w:r>
      <w:r>
        <w:t xml:space="preserve">l entonces la redacción del </w:t>
      </w:r>
      <w:r w:rsidR="0082705D">
        <w:t>artículo</w:t>
      </w:r>
      <w:r>
        <w:t xml:space="preserve"> era algo distinta</w:t>
      </w:r>
      <w:r w:rsidR="004F52FC">
        <w:t xml:space="preserve"> a la que hoy se impugna</w:t>
      </w:r>
      <w:r>
        <w:t xml:space="preserve">, </w:t>
      </w:r>
      <w:r w:rsidR="00F9446F">
        <w:t xml:space="preserve">los cambios introducidos por el </w:t>
      </w:r>
      <w:r w:rsidR="004F52FC" w:rsidRPr="00A576B8">
        <w:t>Decreto No. 2617</w:t>
      </w:r>
      <w:r w:rsidR="00F9446F">
        <w:t xml:space="preserve"> no</w:t>
      </w:r>
      <w:r w:rsidR="004F52FC">
        <w:t xml:space="preserve"> eliminan la obligación de los órganos autónomos de Oaxaca de rendir el informe ante el Congreso local</w:t>
      </w:r>
      <w:r w:rsidR="00147BEB">
        <w:t>.</w:t>
      </w:r>
      <w:r w:rsidR="004F52FC">
        <w:t xml:space="preserve"> </w:t>
      </w:r>
      <w:r w:rsidR="00147BEB">
        <w:t>Solamente</w:t>
      </w:r>
      <w:r w:rsidR="004F52FC">
        <w:t xml:space="preserve"> </w:t>
      </w:r>
      <w:r w:rsidR="00987E46">
        <w:t>introducen</w:t>
      </w:r>
      <w:r w:rsidR="004F52FC">
        <w:t xml:space="preserve"> modalidades para </w:t>
      </w:r>
      <w:r w:rsidR="00987E46">
        <w:t>su</w:t>
      </w:r>
      <w:r w:rsidR="004F52FC">
        <w:t xml:space="preserve"> cumplimiento</w:t>
      </w:r>
      <w:r w:rsidR="00181E4B" w:rsidRPr="00181E4B">
        <w:t>:</w:t>
      </w:r>
    </w:p>
    <w:tbl>
      <w:tblPr>
        <w:tblStyle w:val="Tablaconcuadrcula"/>
        <w:tblW w:w="0" w:type="auto"/>
        <w:tblLook w:val="04A0" w:firstRow="1" w:lastRow="0" w:firstColumn="1" w:lastColumn="0" w:noHBand="0" w:noVBand="1"/>
      </w:tblPr>
      <w:tblGrid>
        <w:gridCol w:w="4414"/>
        <w:gridCol w:w="4414"/>
      </w:tblGrid>
      <w:tr w:rsidR="00181E4B" w:rsidRPr="001310C2" w14:paraId="5EB3FC4B" w14:textId="77777777" w:rsidTr="00A37FC7">
        <w:tc>
          <w:tcPr>
            <w:tcW w:w="4414" w:type="dxa"/>
          </w:tcPr>
          <w:p w14:paraId="25F6B693" w14:textId="77777777" w:rsidR="00181E4B" w:rsidRPr="00C03B93" w:rsidRDefault="00181E4B" w:rsidP="00A37FC7">
            <w:pPr>
              <w:pStyle w:val="corte4fondo"/>
              <w:tabs>
                <w:tab w:val="left" w:pos="0"/>
              </w:tabs>
              <w:spacing w:line="276" w:lineRule="auto"/>
              <w:ind w:firstLine="0"/>
              <w:jc w:val="center"/>
              <w:rPr>
                <w:rFonts w:cs="Arial"/>
                <w:b/>
                <w:sz w:val="26"/>
                <w:szCs w:val="26"/>
              </w:rPr>
            </w:pPr>
            <w:r w:rsidRPr="00C03B93">
              <w:rPr>
                <w:rFonts w:cs="Arial"/>
                <w:b/>
                <w:sz w:val="26"/>
                <w:szCs w:val="26"/>
              </w:rPr>
              <w:t xml:space="preserve">Redacción anterior </w:t>
            </w:r>
          </w:p>
        </w:tc>
        <w:tc>
          <w:tcPr>
            <w:tcW w:w="4414" w:type="dxa"/>
          </w:tcPr>
          <w:p w14:paraId="04C6EE63" w14:textId="77777777" w:rsidR="00181E4B" w:rsidRPr="00C03B93" w:rsidRDefault="00181E4B" w:rsidP="00A37FC7">
            <w:pPr>
              <w:pStyle w:val="corte4fondo"/>
              <w:tabs>
                <w:tab w:val="left" w:pos="0"/>
              </w:tabs>
              <w:spacing w:line="276" w:lineRule="auto"/>
              <w:ind w:firstLine="0"/>
              <w:jc w:val="center"/>
              <w:rPr>
                <w:rFonts w:cs="Arial"/>
                <w:b/>
                <w:sz w:val="26"/>
                <w:szCs w:val="26"/>
              </w:rPr>
            </w:pPr>
            <w:r w:rsidRPr="00C03B93">
              <w:rPr>
                <w:rFonts w:cs="Arial"/>
                <w:b/>
                <w:sz w:val="26"/>
                <w:szCs w:val="26"/>
              </w:rPr>
              <w:t>Redacción vigente</w:t>
            </w:r>
          </w:p>
        </w:tc>
      </w:tr>
      <w:tr w:rsidR="00181E4B" w:rsidRPr="001310C2" w14:paraId="1ADF584B" w14:textId="77777777" w:rsidTr="00A37FC7">
        <w:tc>
          <w:tcPr>
            <w:tcW w:w="4414" w:type="dxa"/>
          </w:tcPr>
          <w:p w14:paraId="39E2A928" w14:textId="77777777" w:rsidR="00181E4B" w:rsidRPr="00924044" w:rsidRDefault="00181E4B" w:rsidP="00A37FC7">
            <w:pPr>
              <w:pStyle w:val="Estilo"/>
            </w:pPr>
            <w:r w:rsidRPr="008D7297">
              <w:rPr>
                <w:b/>
              </w:rPr>
              <w:t xml:space="preserve">Artículo </w:t>
            </w:r>
            <w:r w:rsidRPr="00924044">
              <w:rPr>
                <w:b/>
                <w:bCs/>
              </w:rPr>
              <w:t>114.</w:t>
            </w:r>
            <w:r>
              <w:t xml:space="preserve"> Conforme 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un informe anual de labores al Congreso del Estado, el cual deberá hacer público a través de los medios electrónicos disponibles en formatos abiertos, accesibles y reutilizables.</w:t>
            </w:r>
          </w:p>
        </w:tc>
        <w:tc>
          <w:tcPr>
            <w:tcW w:w="4414" w:type="dxa"/>
          </w:tcPr>
          <w:p w14:paraId="47802A30" w14:textId="77777777" w:rsidR="00181E4B" w:rsidRPr="00924044" w:rsidRDefault="00181E4B" w:rsidP="00A37FC7">
            <w:pPr>
              <w:pStyle w:val="Estilo"/>
            </w:pPr>
            <w:r w:rsidRPr="008D7297">
              <w:rPr>
                <w:b/>
              </w:rPr>
              <w:t xml:space="preserve">Artículo </w:t>
            </w:r>
            <w:r w:rsidRPr="00924044">
              <w:rPr>
                <w:b/>
                <w:bCs/>
              </w:rPr>
              <w:t>114.</w:t>
            </w:r>
            <w:r>
              <w:t xml:space="preserve"> Conforme 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w:t>
            </w:r>
            <w:r w:rsidRPr="00127007">
              <w:rPr>
                <w:b/>
                <w:bCs/>
                <w:u w:val="single"/>
              </w:rPr>
              <w:t>a través de sus titulares</w:t>
            </w:r>
            <w:r>
              <w:t xml:space="preserve"> un informe anual de labores </w:t>
            </w:r>
            <w:r w:rsidRPr="00127007">
              <w:rPr>
                <w:b/>
                <w:bCs/>
                <w:u w:val="single"/>
              </w:rPr>
              <w:t>ante el pleno del</w:t>
            </w:r>
            <w:r>
              <w:t xml:space="preserve"> Congreso del Estado, el cual </w:t>
            </w:r>
            <w:r w:rsidRPr="00127007">
              <w:rPr>
                <w:b/>
                <w:bCs/>
                <w:u w:val="single"/>
              </w:rPr>
              <w:t>será publicitado por</w:t>
            </w:r>
            <w:r>
              <w:t xml:space="preserve"> los medios electrónicos disponibles en formatos abiertos, accesibles y reutilizables.</w:t>
            </w:r>
          </w:p>
        </w:tc>
      </w:tr>
    </w:tbl>
    <w:p w14:paraId="578860CE" w14:textId="77777777" w:rsidR="00181E4B" w:rsidRDefault="00181E4B" w:rsidP="00181E4B">
      <w:pPr>
        <w:pStyle w:val="Prrafo"/>
      </w:pPr>
    </w:p>
    <w:p w14:paraId="2127D83A" w14:textId="6CD4C43C" w:rsidR="00181E4B" w:rsidRDefault="00001A2C" w:rsidP="009B2B31">
      <w:pPr>
        <w:pStyle w:val="Prrafo"/>
        <w:numPr>
          <w:ilvl w:val="0"/>
          <w:numId w:val="6"/>
        </w:numPr>
        <w:ind w:left="0" w:hanging="567"/>
      </w:pPr>
      <w:r>
        <w:t>Mientras que</w:t>
      </w:r>
      <w:r w:rsidR="00181E4B" w:rsidRPr="00181E4B">
        <w:t xml:space="preserve"> </w:t>
      </w:r>
      <w:r>
        <w:t>l</w:t>
      </w:r>
      <w:r w:rsidR="00181E4B" w:rsidRPr="00181E4B">
        <w:t xml:space="preserve">a Suprema Corte </w:t>
      </w:r>
      <w:r>
        <w:t xml:space="preserve">ya </w:t>
      </w:r>
      <w:r w:rsidR="000C142C">
        <w:t>ha concluido</w:t>
      </w:r>
      <w:r w:rsidR="009A7E7E">
        <w:t xml:space="preserve"> </w:t>
      </w:r>
      <w:r w:rsidR="00181E4B" w:rsidRPr="00181E4B">
        <w:t xml:space="preserve">que </w:t>
      </w:r>
      <w:r w:rsidR="009B2B31">
        <w:t>una disposición en este sentido</w:t>
      </w:r>
      <w:r w:rsidR="00181E4B" w:rsidRPr="00181E4B">
        <w:t xml:space="preserve"> constituye materia electoral para los efectos de la procedencia de la acción de inconstitucionalidad,</w:t>
      </w:r>
      <w:r w:rsidR="009B2B31">
        <w:t xml:space="preserve"> </w:t>
      </w:r>
      <w:r>
        <w:t>hoy no se advierte</w:t>
      </w:r>
      <w:r w:rsidR="00181E4B" w:rsidRPr="00181E4B">
        <w:t xml:space="preserve"> motivo alguno para adopt</w:t>
      </w:r>
      <w:r w:rsidR="008B0A20">
        <w:t>ar</w:t>
      </w:r>
      <w:r w:rsidR="00181E4B" w:rsidRPr="00181E4B">
        <w:t xml:space="preserve"> un criterio distinto. </w:t>
      </w:r>
      <w:r>
        <w:t>Al</w:t>
      </w:r>
      <w:r w:rsidR="00181E4B" w:rsidRPr="00181E4B">
        <w:t xml:space="preserve"> contrario</w:t>
      </w:r>
      <w:r>
        <w:t xml:space="preserve">, </w:t>
      </w:r>
      <w:r w:rsidR="007D2083">
        <w:t>cambiar</w:t>
      </w:r>
      <w:r>
        <w:t xml:space="preserve"> de postura</w:t>
      </w:r>
      <w:r w:rsidR="00181E4B" w:rsidRPr="00181E4B">
        <w:t xml:space="preserve"> </w:t>
      </w:r>
      <w:r w:rsidR="00181E4B" w:rsidRPr="00181E4B">
        <w:rPr>
          <w:lang w:eastAsia="es-MX"/>
        </w:rPr>
        <w:t xml:space="preserve">no solamente soslayaría la aplicación del </w:t>
      </w:r>
      <w:r w:rsidR="00181E4B" w:rsidRPr="00181E4B">
        <w:t xml:space="preserve">principio </w:t>
      </w:r>
      <w:r w:rsidR="00181E4B" w:rsidRPr="009B2B31">
        <w:rPr>
          <w:i/>
        </w:rPr>
        <w:t>pro actione</w:t>
      </w:r>
      <w:r w:rsidR="00181E4B" w:rsidRPr="003636B0">
        <w:rPr>
          <w:rStyle w:val="Refdenotaalpie"/>
        </w:rPr>
        <w:footnoteReference w:id="24"/>
      </w:r>
      <w:r w:rsidR="009B2B31">
        <w:rPr>
          <w:iCs/>
        </w:rPr>
        <w:t>,</w:t>
      </w:r>
      <w:r w:rsidR="00181E4B" w:rsidRPr="009B2B31">
        <w:rPr>
          <w:i/>
        </w:rPr>
        <w:t xml:space="preserve"> </w:t>
      </w:r>
      <w:r w:rsidR="00127007">
        <w:rPr>
          <w:iCs/>
        </w:rPr>
        <w:t>pues éste</w:t>
      </w:r>
      <w:r w:rsidR="00181E4B" w:rsidRPr="009B2B31">
        <w:rPr>
          <w:iCs/>
        </w:rPr>
        <w:t xml:space="preserve"> exige</w:t>
      </w:r>
      <w:r w:rsidR="00181E4B" w:rsidRPr="00181E4B">
        <w:t xml:space="preserve"> </w:t>
      </w:r>
      <w:r w:rsidR="00350E40">
        <w:t>favorecer la procedencia de la acción cuando exista</w:t>
      </w:r>
      <w:r w:rsidR="00181E4B" w:rsidRPr="00181E4B">
        <w:t xml:space="preserve"> la duda acerca de si algún requisito se encuentra o no acreditado</w:t>
      </w:r>
      <w:r w:rsidR="006368BF">
        <w:rPr>
          <w:bCs/>
        </w:rPr>
        <w:t>,</w:t>
      </w:r>
      <w:r w:rsidR="00181E4B" w:rsidRPr="009B2B31">
        <w:rPr>
          <w:bCs/>
        </w:rPr>
        <w:t xml:space="preserve"> </w:t>
      </w:r>
      <w:r w:rsidR="006368BF">
        <w:rPr>
          <w:bCs/>
        </w:rPr>
        <w:t>t</w:t>
      </w:r>
      <w:r w:rsidR="009B2B31">
        <w:rPr>
          <w:bCs/>
        </w:rPr>
        <w:t>ambién</w:t>
      </w:r>
      <w:r w:rsidR="00181E4B" w:rsidRPr="009B2B31">
        <w:rPr>
          <w:bCs/>
        </w:rPr>
        <w:t xml:space="preserve"> </w:t>
      </w:r>
      <w:r w:rsidR="00181E4B" w:rsidRPr="00181E4B">
        <w:rPr>
          <w:lang w:eastAsia="es-MX"/>
        </w:rPr>
        <w:t>desatendería</w:t>
      </w:r>
      <w:r w:rsidR="00181E4B" w:rsidRPr="00181E4B">
        <w:t xml:space="preserve"> que,</w:t>
      </w:r>
      <w:r w:rsidR="00181E4B" w:rsidRPr="009B2B31">
        <w:rPr>
          <w:iCs/>
        </w:rPr>
        <w:t xml:space="preserve"> </w:t>
      </w:r>
      <w:r w:rsidR="00181E4B" w:rsidRPr="00181E4B">
        <w:rPr>
          <w:lang w:eastAsia="es-MX"/>
        </w:rPr>
        <w:t xml:space="preserve">en términos </w:t>
      </w:r>
      <w:r w:rsidR="00212D85">
        <w:rPr>
          <w:lang w:eastAsia="es-MX"/>
        </w:rPr>
        <w:t>d</w:t>
      </w:r>
      <w:r w:rsidR="00181E4B" w:rsidRPr="00181E4B">
        <w:rPr>
          <w:lang w:eastAsia="es-MX"/>
        </w:rPr>
        <w:t>el artículo 105, fracción II, párrafo tercero, de la Constitución Federal</w:t>
      </w:r>
      <w:r w:rsidR="00181E4B" w:rsidRPr="003636B0">
        <w:rPr>
          <w:rStyle w:val="Refdenotaalpie"/>
          <w:lang w:eastAsia="es-MX"/>
        </w:rPr>
        <w:footnoteReference w:id="25"/>
      </w:r>
      <w:r w:rsidR="00181E4B" w:rsidRPr="00181E4B">
        <w:rPr>
          <w:lang w:eastAsia="es-MX"/>
        </w:rPr>
        <w:t>, los órganos jurisdiccionales especializados en materia electoral no tienen competencia alguna para conocer del control abstracto de normas generales que en esa misma materia ejerce esta Suprema Corte a través de las acciones de inconstitucionalidad, pues se trata de una facultad constitucional exclusiva. Por lo tanto, no se justificaría la adopción de una interpretación restrictiva para sostener la improcedencia de la acción, en la medida en que no hay competencia alguna que se deba preservar. Por el contrario, la definición de la materia electoral para efectos de la procedencia de la acción de inconstitucionalidad es mucho más amplia que en cualquier otro medio de control constitucional</w:t>
      </w:r>
      <w:r w:rsidR="009B2B31">
        <w:rPr>
          <w:rStyle w:val="Refdenotaalpie"/>
          <w:lang w:eastAsia="es-MX"/>
        </w:rPr>
        <w:footnoteReference w:id="26"/>
      </w:r>
      <w:r w:rsidR="00181E4B" w:rsidRPr="00181E4B">
        <w:rPr>
          <w:lang w:eastAsia="es-MX"/>
        </w:rPr>
        <w:t>.</w:t>
      </w:r>
    </w:p>
    <w:p w14:paraId="3202F849" w14:textId="75C95026" w:rsidR="00181E4B" w:rsidRDefault="00181E4B" w:rsidP="00181E4B">
      <w:pPr>
        <w:pStyle w:val="Prrafo"/>
        <w:numPr>
          <w:ilvl w:val="0"/>
          <w:numId w:val="6"/>
        </w:numPr>
        <w:ind w:left="0" w:hanging="567"/>
      </w:pPr>
      <w:r w:rsidRPr="00181E4B">
        <w:rPr>
          <w:lang w:eastAsia="es-MX"/>
        </w:rPr>
        <w:t xml:space="preserve">Por </w:t>
      </w:r>
      <w:r w:rsidR="00D15700">
        <w:rPr>
          <w:lang w:eastAsia="es-MX"/>
        </w:rPr>
        <w:t>otra parte</w:t>
      </w:r>
      <w:r w:rsidRPr="00181E4B">
        <w:rPr>
          <w:lang w:eastAsia="es-MX"/>
        </w:rPr>
        <w:t xml:space="preserve">, aun suponiendo </w:t>
      </w:r>
      <w:r w:rsidR="00323FA5">
        <w:rPr>
          <w:lang w:eastAsia="es-MX"/>
        </w:rPr>
        <w:t>—</w:t>
      </w:r>
      <w:r w:rsidRPr="00181E4B">
        <w:rPr>
          <w:lang w:eastAsia="es-MX"/>
        </w:rPr>
        <w:t>sin conceder</w:t>
      </w:r>
      <w:r w:rsidR="00323FA5">
        <w:rPr>
          <w:lang w:eastAsia="es-MX"/>
        </w:rPr>
        <w:t>—</w:t>
      </w:r>
      <w:r w:rsidRPr="00181E4B">
        <w:rPr>
          <w:lang w:eastAsia="es-MX"/>
        </w:rPr>
        <w:t xml:space="preserve"> que el decreto impugnado sí hubiera modificado sustancialmente</w:t>
      </w:r>
      <w:r w:rsidR="00323FA5">
        <w:rPr>
          <w:lang w:eastAsia="es-MX"/>
        </w:rPr>
        <w:t xml:space="preserve"> </w:t>
      </w:r>
      <w:r w:rsidRPr="00181E4B">
        <w:rPr>
          <w:lang w:eastAsia="es-MX"/>
        </w:rPr>
        <w:t xml:space="preserve">la naturaleza de artículo 114 de la Constitución de Oaxaca, </w:t>
      </w:r>
      <w:r w:rsidRPr="00181E4B">
        <w:t>la causa de improcedencia invocada se encuentra estrechamente vinculada con el fondo del presente medio de impugnación. Tal como lo ha establecido este Tribunal Pleno</w:t>
      </w:r>
      <w:r w:rsidRPr="00EF6DB1">
        <w:rPr>
          <w:rStyle w:val="Refdenotaalpie"/>
        </w:rPr>
        <w:footnoteReference w:id="27"/>
      </w:r>
      <w:r w:rsidRPr="00181E4B">
        <w:t xml:space="preserve">, si en una acción de inconstitucionalidad se hace valer alguna causa de improcedencia que involucre una argumentación íntimamente relacionada con el fondo del asunto, aquélla debe desestimarse y, de no operar otro motivo de improcedencia, deben estudiarse los conceptos de invalidez. De lo contrario, se correría el peligro de sobreseer respecto de un medio de impugnación cuya improcedencia no esté plenamente acreditada y, por tanto, de que se vulnere la garantía de acceso a la justicia en perjuicio de los accionantes. </w:t>
      </w:r>
    </w:p>
    <w:p w14:paraId="50875962" w14:textId="3B92BCE3" w:rsidR="00EC45AF" w:rsidRDefault="00181E4B" w:rsidP="008077C3">
      <w:pPr>
        <w:pStyle w:val="Prrafo"/>
        <w:numPr>
          <w:ilvl w:val="0"/>
          <w:numId w:val="6"/>
        </w:numPr>
        <w:ind w:left="0" w:hanging="567"/>
      </w:pPr>
      <w:r w:rsidRPr="00181E4B">
        <w:rPr>
          <w:lang w:eastAsia="es-MX"/>
        </w:rPr>
        <w:t>Como ya se mencionó (</w:t>
      </w:r>
      <w:r w:rsidRPr="00181E4B">
        <w:rPr>
          <w:i/>
          <w:lang w:eastAsia="es-MX"/>
        </w:rPr>
        <w:t>supra</w:t>
      </w:r>
      <w:r w:rsidRPr="00181E4B">
        <w:rPr>
          <w:lang w:eastAsia="es-MX"/>
        </w:rPr>
        <w:t xml:space="preserve"> párr. </w:t>
      </w:r>
      <w:r w:rsidR="007076FF">
        <w:rPr>
          <w:lang w:eastAsia="es-MX"/>
        </w:rPr>
        <w:t>2</w:t>
      </w:r>
      <w:r w:rsidRPr="00181E4B">
        <w:rPr>
          <w:lang w:eastAsia="es-MX"/>
        </w:rPr>
        <w:t xml:space="preserve">), del escrito de demanda se desprende que una de las cuestiones efectivamente planteadas en el presente asunto es que la norma general impugnada es inconstitucional porque </w:t>
      </w:r>
      <w:r w:rsidRPr="00181E4B">
        <w:t>impone</w:t>
      </w:r>
      <w:r w:rsidR="00FD5299" w:rsidRPr="00FD5299">
        <w:rPr>
          <w:lang w:eastAsia="es-MX"/>
        </w:rPr>
        <w:t xml:space="preserve"> </w:t>
      </w:r>
      <w:r w:rsidR="00FD5299">
        <w:rPr>
          <w:lang w:eastAsia="es-MX"/>
        </w:rPr>
        <w:t>al</w:t>
      </w:r>
      <w:r w:rsidR="00FD5299" w:rsidRPr="00181E4B">
        <w:rPr>
          <w:lang w:eastAsia="es-MX"/>
        </w:rPr>
        <w:t xml:space="preserve"> </w:t>
      </w:r>
      <w:r w:rsidR="00FD5299" w:rsidRPr="00181E4B">
        <w:t xml:space="preserve">Instituto Estatal Electoral y </w:t>
      </w:r>
      <w:r w:rsidR="00FD5299">
        <w:t>a</w:t>
      </w:r>
      <w:r w:rsidR="00FD5299" w:rsidRPr="00181E4B">
        <w:t>l Tribunal Electoral Local de Oaxaca</w:t>
      </w:r>
      <w:r w:rsidRPr="00181E4B">
        <w:t xml:space="preserve"> la obligación de rendir</w:t>
      </w:r>
      <w:r w:rsidR="007076FF">
        <w:t xml:space="preserve">, </w:t>
      </w:r>
      <w:r w:rsidR="007076FF" w:rsidRPr="00181E4B">
        <w:t>por conducto de sus titulares</w:t>
      </w:r>
      <w:r w:rsidR="007076FF">
        <w:t>,</w:t>
      </w:r>
      <w:r w:rsidRPr="00181E4B">
        <w:t xml:space="preserve"> un informe anual de labores ante el Pleno del Congreso del Estado. </w:t>
      </w:r>
      <w:r w:rsidRPr="00181E4B">
        <w:rPr>
          <w:lang w:eastAsia="es-MX"/>
        </w:rPr>
        <w:t>Para determinar si</w:t>
      </w:r>
      <w:r w:rsidR="00A448BE" w:rsidRPr="00181E4B">
        <w:rPr>
          <w:lang w:eastAsia="es-MX"/>
        </w:rPr>
        <w:t>, como afirma la autoridad responsable,</w:t>
      </w:r>
      <w:r w:rsidRPr="00181E4B">
        <w:rPr>
          <w:lang w:eastAsia="es-MX"/>
        </w:rPr>
        <w:t xml:space="preserve"> la norma general impugnada no constituye materia electoral</w:t>
      </w:r>
      <w:r w:rsidR="00A448BE">
        <w:rPr>
          <w:lang w:eastAsia="es-MX"/>
        </w:rPr>
        <w:t>,</w:t>
      </w:r>
      <w:r w:rsidR="00B20E3D">
        <w:rPr>
          <w:lang w:eastAsia="es-MX"/>
        </w:rPr>
        <w:t xml:space="preserve"> primero</w:t>
      </w:r>
      <w:r w:rsidRPr="00181E4B">
        <w:rPr>
          <w:lang w:eastAsia="es-MX"/>
        </w:rPr>
        <w:t xml:space="preserve"> sería necesario verificar si la norma </w:t>
      </w:r>
      <w:r w:rsidR="00764AA9">
        <w:rPr>
          <w:lang w:eastAsia="es-MX"/>
        </w:rPr>
        <w:t xml:space="preserve">efectivamente </w:t>
      </w:r>
      <w:r w:rsidR="00FD5299">
        <w:rPr>
          <w:lang w:eastAsia="es-MX"/>
        </w:rPr>
        <w:t>obliga a</w:t>
      </w:r>
      <w:r w:rsidRPr="00181E4B">
        <w:rPr>
          <w:lang w:eastAsia="es-MX"/>
        </w:rPr>
        <w:t xml:space="preserve"> los órganos electorales del Estado de Oaxaca</w:t>
      </w:r>
      <w:r w:rsidR="00FD5299">
        <w:rPr>
          <w:lang w:eastAsia="es-MX"/>
        </w:rPr>
        <w:t xml:space="preserve"> a rendir el informe ante el Congreso de Oaxaca</w:t>
      </w:r>
      <w:r w:rsidRPr="00181E4B">
        <w:rPr>
          <w:lang w:eastAsia="es-MX"/>
        </w:rPr>
        <w:t>, que es precisamente lo que plantea el partido promovente en sus conceptos de invalidez. Analizar la causa de improcedencia invocada, por tanto, implicaría necesariamente estudiar cuestiones que son propias del estudio de fondo del asunto. En consecuencia,</w:t>
      </w:r>
      <w:r w:rsidR="00CC0CBE">
        <w:rPr>
          <w:lang w:eastAsia="es-MX"/>
        </w:rPr>
        <w:t xml:space="preserve"> también por esta razón</w:t>
      </w:r>
      <w:r w:rsidR="000C3110" w:rsidRPr="000C3110">
        <w:rPr>
          <w:lang w:eastAsia="es-MX"/>
        </w:rPr>
        <w:t xml:space="preserve"> </w:t>
      </w:r>
      <w:r w:rsidR="000C3110" w:rsidRPr="00181E4B">
        <w:rPr>
          <w:lang w:eastAsia="es-MX"/>
        </w:rPr>
        <w:t>debe desestimarse</w:t>
      </w:r>
      <w:r w:rsidRPr="00181E4B">
        <w:rPr>
          <w:lang w:eastAsia="es-MX"/>
        </w:rPr>
        <w:t xml:space="preserve"> el argumento del</w:t>
      </w:r>
      <w:r w:rsidR="00411D69">
        <w:rPr>
          <w:lang w:eastAsia="es-MX"/>
        </w:rPr>
        <w:t xml:space="preserve"> Poder</w:t>
      </w:r>
      <w:r w:rsidRPr="00181E4B">
        <w:rPr>
          <w:lang w:eastAsia="es-MX"/>
        </w:rPr>
        <w:t xml:space="preserve"> Legislativo de Oaxaca.</w:t>
      </w:r>
    </w:p>
    <w:p w14:paraId="0533BD9C" w14:textId="3DABF501" w:rsidR="000B19D7" w:rsidRDefault="000B19D7" w:rsidP="000B19D7">
      <w:pPr>
        <w:pStyle w:val="Prrafo"/>
        <w:jc w:val="center"/>
      </w:pPr>
      <w:r>
        <w:rPr>
          <w:lang w:eastAsia="es-MX"/>
        </w:rPr>
        <w:t>***</w:t>
      </w:r>
    </w:p>
    <w:p w14:paraId="479C60E4" w14:textId="7CF729C7" w:rsidR="00181E4B" w:rsidRDefault="000B19D7" w:rsidP="00181E4B">
      <w:pPr>
        <w:pStyle w:val="Prrafo"/>
        <w:numPr>
          <w:ilvl w:val="0"/>
          <w:numId w:val="6"/>
        </w:numPr>
        <w:ind w:left="0" w:hanging="567"/>
      </w:pPr>
      <w:r>
        <w:rPr>
          <w:lang w:eastAsia="es-MX"/>
        </w:rPr>
        <w:t>E</w:t>
      </w:r>
      <w:r w:rsidR="00181E4B" w:rsidRPr="00181E4B">
        <w:rPr>
          <w:lang w:eastAsia="es-MX"/>
        </w:rPr>
        <w:t xml:space="preserve">n atención a que las autoridades no hicieron valer otras causas de improcedencia y esta Suprema Corte </w:t>
      </w:r>
      <w:r w:rsidR="00181E4B" w:rsidRPr="00181E4B">
        <w:t>no advierte de oficio la actualización de alguna otra que lleve a decretar el sobreseimiento de la acción</w:t>
      </w:r>
      <w:r w:rsidR="00181E4B" w:rsidRPr="00181E4B">
        <w:rPr>
          <w:lang w:eastAsia="es-MX"/>
        </w:rPr>
        <w:t xml:space="preserve">, lo procedente es entrar al estudio de los conceptos de invalidez formulados por </w:t>
      </w:r>
      <w:r w:rsidR="00CC0CBE">
        <w:rPr>
          <w:lang w:eastAsia="es-MX"/>
        </w:rPr>
        <w:t>el partido</w:t>
      </w:r>
      <w:r w:rsidR="00181E4B" w:rsidRPr="00181E4B">
        <w:rPr>
          <w:lang w:eastAsia="es-MX"/>
        </w:rPr>
        <w:t xml:space="preserve"> promovente.    </w:t>
      </w:r>
    </w:p>
    <w:bookmarkEnd w:id="6"/>
    <w:p w14:paraId="50018495" w14:textId="731C1DC8" w:rsidR="000E05CA" w:rsidRDefault="00780461" w:rsidP="00780461">
      <w:pPr>
        <w:pStyle w:val="Prrafo"/>
        <w:numPr>
          <w:ilvl w:val="0"/>
          <w:numId w:val="6"/>
        </w:numPr>
        <w:ind w:left="0" w:hanging="567"/>
      </w:pPr>
      <w:r w:rsidRPr="0059627C">
        <w:t xml:space="preserve">Estas consideraciones son obligatorias al haberse aprobado por </w:t>
      </w:r>
      <w:r>
        <w:t xml:space="preserve">unanimidad de diez votos. </w:t>
      </w:r>
    </w:p>
    <w:p w14:paraId="18AF66AA" w14:textId="77777777" w:rsidR="00303E58" w:rsidRPr="0059627C" w:rsidRDefault="00303E58" w:rsidP="00303E58">
      <w:pPr>
        <w:pStyle w:val="Prrafo"/>
      </w:pPr>
    </w:p>
    <w:p w14:paraId="7778FEAD" w14:textId="1A2FA133" w:rsidR="00302190" w:rsidRDefault="00F15FD9" w:rsidP="00302190">
      <w:pPr>
        <w:pStyle w:val="Ttulo3"/>
        <w:numPr>
          <w:ilvl w:val="0"/>
          <w:numId w:val="7"/>
        </w:numPr>
        <w:ind w:left="0" w:firstLine="0"/>
      </w:pPr>
      <w:r w:rsidRPr="0059627C">
        <w:t>ESTUDIO DE FONDO</w:t>
      </w:r>
    </w:p>
    <w:p w14:paraId="1A06EC91" w14:textId="39F8D42F" w:rsidR="00886B5D" w:rsidRDefault="00DE0F8B" w:rsidP="00302190">
      <w:pPr>
        <w:pStyle w:val="Prrafo"/>
        <w:numPr>
          <w:ilvl w:val="0"/>
          <w:numId w:val="6"/>
        </w:numPr>
        <w:ind w:left="0" w:hanging="567"/>
      </w:pPr>
      <w:r>
        <w:rPr>
          <w:b/>
        </w:rPr>
        <w:t>Norma general</w:t>
      </w:r>
      <w:r w:rsidR="00886B5D" w:rsidRPr="00302190">
        <w:rPr>
          <w:b/>
        </w:rPr>
        <w:t xml:space="preserve"> impugnad</w:t>
      </w:r>
      <w:r>
        <w:rPr>
          <w:b/>
        </w:rPr>
        <w:t>a</w:t>
      </w:r>
      <w:r w:rsidR="00886B5D" w:rsidRPr="00302190">
        <w:rPr>
          <w:b/>
        </w:rPr>
        <w:t xml:space="preserve">. </w:t>
      </w:r>
      <w:r w:rsidR="00886B5D" w:rsidRPr="00302190">
        <w:t xml:space="preserve">Como ya se indicó en el apartado </w:t>
      </w:r>
      <w:r w:rsidR="00714107" w:rsidRPr="00302190">
        <w:t>II</w:t>
      </w:r>
      <w:r w:rsidR="00886B5D" w:rsidRPr="00302190">
        <w:t xml:space="preserve">, el </w:t>
      </w:r>
      <w:r w:rsidR="00886B5D" w:rsidRPr="004D2C12">
        <w:t xml:space="preserve">partido político accionante plantea la inconstitucionalidad del Decreto 2617 por el que se reformó el artículo 114 de la Constitución de Oaxaca. </w:t>
      </w:r>
      <w:r w:rsidR="00886B5D" w:rsidRPr="00C53829">
        <w:t>El artículo en cuestión dispone a la letra lo siguiente:</w:t>
      </w:r>
    </w:p>
    <w:p w14:paraId="0B02707C" w14:textId="44F905AD" w:rsidR="00886B5D" w:rsidRDefault="00886B5D" w:rsidP="00886B5D">
      <w:pPr>
        <w:pStyle w:val="corte4fondo"/>
        <w:ind w:left="284" w:right="902"/>
        <w:rPr>
          <w:i/>
          <w:iCs/>
          <w:sz w:val="26"/>
          <w:szCs w:val="26"/>
        </w:rPr>
      </w:pPr>
      <w:r>
        <w:rPr>
          <w:rFonts w:cs="Arial"/>
          <w:sz w:val="26"/>
          <w:szCs w:val="26"/>
        </w:rPr>
        <w:t>“</w:t>
      </w:r>
      <w:r w:rsidRPr="00C53829">
        <w:rPr>
          <w:bCs/>
          <w:i/>
          <w:iCs/>
          <w:sz w:val="26"/>
          <w:szCs w:val="26"/>
        </w:rPr>
        <w:t>Artículo 114.</w:t>
      </w:r>
      <w:r w:rsidRPr="00C53829">
        <w:rPr>
          <w:i/>
          <w:iCs/>
          <w:sz w:val="26"/>
          <w:szCs w:val="26"/>
        </w:rPr>
        <w:t xml:space="preserve"> Conforme 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w:t>
      </w:r>
      <w:r>
        <w:rPr>
          <w:i/>
          <w:iCs/>
          <w:sz w:val="26"/>
          <w:szCs w:val="26"/>
        </w:rPr>
        <w:t>”</w:t>
      </w:r>
    </w:p>
    <w:p w14:paraId="205BA7E0" w14:textId="77777777" w:rsidR="00B10E32" w:rsidRPr="00886B5D" w:rsidRDefault="00B10E32" w:rsidP="00886B5D">
      <w:pPr>
        <w:pStyle w:val="corte4fondo"/>
        <w:ind w:left="284" w:right="902"/>
        <w:rPr>
          <w:rFonts w:cs="Arial"/>
          <w:i/>
          <w:iCs/>
          <w:sz w:val="26"/>
          <w:szCs w:val="26"/>
        </w:rPr>
      </w:pPr>
    </w:p>
    <w:p w14:paraId="08679CC7" w14:textId="4A05BBD7" w:rsidR="00732A4B" w:rsidRDefault="00732A4B" w:rsidP="00732A4B">
      <w:pPr>
        <w:pStyle w:val="Prrafo"/>
        <w:numPr>
          <w:ilvl w:val="0"/>
          <w:numId w:val="6"/>
        </w:numPr>
        <w:ind w:left="0" w:hanging="567"/>
      </w:pPr>
      <w:r w:rsidRPr="00886B5D">
        <w:rPr>
          <w:b/>
        </w:rPr>
        <w:t xml:space="preserve">Conceptos de invalidez. </w:t>
      </w:r>
      <w:r w:rsidRPr="00886B5D">
        <w:t xml:space="preserve">El partido promovente alega que el </w:t>
      </w:r>
      <w:r w:rsidR="00CF3A34">
        <w:t>d</w:t>
      </w:r>
      <w:r w:rsidRPr="00886B5D">
        <w:t>ecreto</w:t>
      </w:r>
      <w:r w:rsidR="00CF3A34">
        <w:t xml:space="preserve"> impugnado</w:t>
      </w:r>
      <w:r w:rsidRPr="00886B5D">
        <w:t xml:space="preserve"> vulnera los artículos 41,</w:t>
      </w:r>
      <w:r w:rsidR="00CF3A34">
        <w:t xml:space="preserve"> 49,</w:t>
      </w:r>
      <w:r w:rsidRPr="00886B5D">
        <w:t xml:space="preserve"> 73, fracción XXIX-U, 116</w:t>
      </w:r>
      <w:r w:rsidR="00CF3A34">
        <w:t>,</w:t>
      </w:r>
      <w:r w:rsidRPr="00886B5D">
        <w:t xml:space="preserve"> 124</w:t>
      </w:r>
      <w:r w:rsidR="00CF3A34">
        <w:t xml:space="preserve"> y 133</w:t>
      </w:r>
      <w:r w:rsidRPr="00886B5D">
        <w:t xml:space="preserve"> de la Constitución Federal</w:t>
      </w:r>
      <w:r w:rsidR="00CF3A34">
        <w:t xml:space="preserve"> </w:t>
      </w:r>
      <w:r w:rsidR="004B725F">
        <w:t>porque</w:t>
      </w:r>
      <w:r w:rsidR="00CF3A34">
        <w:t xml:space="preserve"> obliga tanto al </w:t>
      </w:r>
      <w:bookmarkStart w:id="8" w:name="_Hlk94904262"/>
      <w:r w:rsidR="00CF3A34">
        <w:t xml:space="preserve">Instituto </w:t>
      </w:r>
      <w:r w:rsidR="00CF3A34" w:rsidRPr="001D4DB0">
        <w:rPr>
          <w:lang w:eastAsia="es-MX"/>
        </w:rPr>
        <w:t>Estatal Electoral y de Participación Ciudadana de Oaxaca</w:t>
      </w:r>
      <w:r w:rsidR="00CF3A34">
        <w:rPr>
          <w:lang w:eastAsia="es-MX"/>
        </w:rPr>
        <w:t xml:space="preserve"> como al Tribunal Electoral del Estado de Oaxaca a rendir, a través de sus titulares, un informe anual de labores ante el </w:t>
      </w:r>
      <w:r w:rsidR="00CA1BB0">
        <w:rPr>
          <w:lang w:eastAsia="es-MX"/>
        </w:rPr>
        <w:t xml:space="preserve">Pleno del </w:t>
      </w:r>
      <w:r w:rsidR="00CF3A34">
        <w:rPr>
          <w:lang w:eastAsia="es-MX"/>
        </w:rPr>
        <w:t>Congreso del Estado</w:t>
      </w:r>
      <w:r w:rsidRPr="00886B5D">
        <w:t>.</w:t>
      </w:r>
      <w:bookmarkEnd w:id="8"/>
    </w:p>
    <w:p w14:paraId="02109B85" w14:textId="18143DCE" w:rsidR="00732A4B" w:rsidRDefault="00CF3A34" w:rsidP="00A82C6D">
      <w:pPr>
        <w:pStyle w:val="Prrafo"/>
        <w:numPr>
          <w:ilvl w:val="0"/>
          <w:numId w:val="6"/>
        </w:numPr>
        <w:ind w:left="0" w:hanging="567"/>
      </w:pPr>
      <w:r>
        <w:t>Por una parte,</w:t>
      </w:r>
      <w:r w:rsidR="00A82C6D">
        <w:t xml:space="preserve"> a</w:t>
      </w:r>
      <w:r>
        <w:t xml:space="preserve">firma que imponer </w:t>
      </w:r>
      <w:r w:rsidR="00A82C6D">
        <w:t>a est</w:t>
      </w:r>
      <w:r>
        <w:t>a</w:t>
      </w:r>
      <w:r w:rsidR="00A82C6D">
        <w:t>s autoridades electorales locales la</w:t>
      </w:r>
      <w:r>
        <w:t xml:space="preserve"> obligación de rendir un informe ante</w:t>
      </w:r>
      <w:r w:rsidR="00A82C6D">
        <w:t xml:space="preserve"> el Congreso del Estado es violatorio de los principios constitucionales de autonomía e independencia.</w:t>
      </w:r>
      <w:r>
        <w:t xml:space="preserve"> </w:t>
      </w:r>
      <w:r w:rsidR="00A82C6D">
        <w:t>Explica</w:t>
      </w:r>
      <w:r>
        <w:t xml:space="preserve"> que </w:t>
      </w:r>
      <w:r w:rsidR="00886B5D" w:rsidRPr="00886B5D">
        <w:t xml:space="preserve">el Pleno de </w:t>
      </w:r>
      <w:r w:rsidR="00A82C6D">
        <w:t>l</w:t>
      </w:r>
      <w:r w:rsidR="00886B5D" w:rsidRPr="00886B5D">
        <w:t xml:space="preserve">a Suprema Corte de Justicia de la Nación, al fallar </w:t>
      </w:r>
      <w:r w:rsidR="00886B5D" w:rsidRPr="00A82C6D">
        <w:rPr>
          <w:bCs/>
        </w:rPr>
        <w:t xml:space="preserve">la </w:t>
      </w:r>
      <w:r w:rsidR="00886B5D" w:rsidRPr="00B815AA">
        <w:t>acción de inconstitucionalidad 53/2015 y sus acumuladas</w:t>
      </w:r>
      <w:r w:rsidR="00886B5D">
        <w:rPr>
          <w:rStyle w:val="Refdenotaalpie"/>
          <w:bCs/>
        </w:rPr>
        <w:footnoteReference w:id="28"/>
      </w:r>
      <w:r w:rsidR="00886B5D" w:rsidRPr="00A82C6D">
        <w:rPr>
          <w:bCs/>
        </w:rPr>
        <w:t xml:space="preserve">, resolvió que </w:t>
      </w:r>
      <w:r w:rsidR="00886B5D" w:rsidRPr="00886B5D">
        <w:t xml:space="preserve">los órganos electorales no se encontraban incluidos en la obligación de rendir los informes ante el Congreso, prevista en el artículo 114 de la Constitución de Oaxaca. El accionante sostiene que, atendiendo a la </w:t>
      </w:r>
      <w:r w:rsidR="00886B5D" w:rsidRPr="00A82C6D">
        <w:rPr>
          <w:i/>
          <w:iCs/>
        </w:rPr>
        <w:t>exposición de motivos</w:t>
      </w:r>
      <w:r w:rsidR="00886B5D" w:rsidRPr="00886B5D">
        <w:t xml:space="preserve"> del </w:t>
      </w:r>
      <w:r w:rsidR="00A70A79">
        <w:t>d</w:t>
      </w:r>
      <w:r w:rsidR="00886B5D" w:rsidRPr="00886B5D">
        <w:t>ecreto impugnado, el Congreso Local pretendió incluir al Tribunal e Instituto Electorales del Estado en la obligación de rendir un informe anual de labores ante el Congreso de Oaxaca. Afirma que esa inclusión es contraria a la reforma constitucional en materia electoral de dos mil catorce, en la que se les otorgó a los órganos electorales autonomía e independencia</w:t>
      </w:r>
      <w:r w:rsidR="00886B5D">
        <w:rPr>
          <w:rStyle w:val="Refdenotaalpie"/>
        </w:rPr>
        <w:footnoteReference w:id="29"/>
      </w:r>
      <w:r w:rsidR="00886B5D" w:rsidRPr="00886B5D">
        <w:t>.</w:t>
      </w:r>
    </w:p>
    <w:p w14:paraId="70A81B5B" w14:textId="5B45C18A" w:rsidR="00A82C6D" w:rsidRDefault="00A82C6D" w:rsidP="00A82C6D">
      <w:pPr>
        <w:pStyle w:val="Prrafo"/>
        <w:numPr>
          <w:ilvl w:val="0"/>
          <w:numId w:val="6"/>
        </w:numPr>
        <w:ind w:left="0" w:hanging="567"/>
      </w:pPr>
      <w:r>
        <w:t xml:space="preserve">Por otra parte, el partido accionante señala que imponer a las autoridades electorales locales la obligación de informar respecto de su actuación es una atribución exclusiva del Congreso de la Unión. </w:t>
      </w:r>
      <w:r w:rsidR="00805C42">
        <w:t>Alega que, e</w:t>
      </w:r>
      <w:r>
        <w:t>n tanto que los órganos electorales locales no pueden calificarse como órganos constitucionales autónomos locales, no están sujetos al control del Congreso local. Por lo tanto,</w:t>
      </w:r>
      <w:r w:rsidR="00805C42">
        <w:t xml:space="preserve"> concluye que</w:t>
      </w:r>
      <w:r>
        <w:t xml:space="preserve"> el Constituyente de Oaxaca no tiene atribuciones para fijar un procedimiento de rendición de cuentas diferente al establecido en la Constitución Federal</w:t>
      </w:r>
      <w:r w:rsidR="00532B1D">
        <w:rPr>
          <w:rStyle w:val="Refdenotaalpie"/>
        </w:rPr>
        <w:footnoteReference w:id="30"/>
      </w:r>
      <w:r>
        <w:t>.</w:t>
      </w:r>
    </w:p>
    <w:p w14:paraId="4E9F2EEE" w14:textId="409E487D" w:rsidR="006343FE" w:rsidRDefault="00886B5D" w:rsidP="006343FE">
      <w:pPr>
        <w:pStyle w:val="Prrafo"/>
        <w:numPr>
          <w:ilvl w:val="0"/>
          <w:numId w:val="6"/>
        </w:numPr>
        <w:ind w:left="0" w:hanging="567"/>
      </w:pPr>
      <w:r w:rsidRPr="00732A4B">
        <w:rPr>
          <w:b/>
        </w:rPr>
        <w:t>Informes de las autoridades responsables.</w:t>
      </w:r>
      <w:r w:rsidRPr="00886B5D">
        <w:t xml:space="preserve"> </w:t>
      </w:r>
      <w:r w:rsidR="006343FE">
        <w:t>C</w:t>
      </w:r>
      <w:r w:rsidR="006C544D" w:rsidRPr="00886B5D">
        <w:t xml:space="preserve">omo ya se indicó </w:t>
      </w:r>
      <w:r w:rsidR="006C544D" w:rsidRPr="00732A4B">
        <w:rPr>
          <w:bCs/>
        </w:rPr>
        <w:t>(</w:t>
      </w:r>
      <w:r w:rsidR="006C544D" w:rsidRPr="00732A4B">
        <w:rPr>
          <w:bCs/>
          <w:i/>
          <w:iCs/>
        </w:rPr>
        <w:t>supra</w:t>
      </w:r>
      <w:r w:rsidR="006C544D" w:rsidRPr="00732A4B">
        <w:rPr>
          <w:bCs/>
        </w:rPr>
        <w:t xml:space="preserve"> párr. 8)</w:t>
      </w:r>
      <w:r w:rsidR="006C544D" w:rsidRPr="00886B5D">
        <w:t>,</w:t>
      </w:r>
      <w:r w:rsidR="006C544D">
        <w:t xml:space="preserve"> </w:t>
      </w:r>
      <w:r w:rsidRPr="00886B5D">
        <w:t>el Poder Ejecutivo del Estado de Oaxaca se limitó a sostener la certeza del acto que se le atribuye, sin formular argumento alguno para defender la constitucionalidad del precepto</w:t>
      </w:r>
      <w:r w:rsidR="00732A4B">
        <w:t>.</w:t>
      </w:r>
      <w:r w:rsidRPr="00886B5D">
        <w:t xml:space="preserve"> </w:t>
      </w:r>
      <w:r w:rsidR="00732A4B" w:rsidRPr="00886B5D">
        <w:t>P</w:t>
      </w:r>
      <w:r w:rsidRPr="00886B5D">
        <w:t>or</w:t>
      </w:r>
      <w:r w:rsidR="00732A4B">
        <w:t xml:space="preserve"> </w:t>
      </w:r>
      <w:r w:rsidRPr="00886B5D">
        <w:t>otra</w:t>
      </w:r>
      <w:r w:rsidR="00732A4B">
        <w:t xml:space="preserve"> parte</w:t>
      </w:r>
      <w:r w:rsidRPr="00886B5D">
        <w:t>, el Poder Legislativo de esa entidad federativa</w:t>
      </w:r>
      <w:r w:rsidR="00AC4FF5">
        <w:t xml:space="preserve"> tampoco argumentó a favor de la constitucionalidad del </w:t>
      </w:r>
      <w:r w:rsidR="00480944">
        <w:t>decreto</w:t>
      </w:r>
      <w:r w:rsidR="00C638A9">
        <w:t xml:space="preserve"> impugnado</w:t>
      </w:r>
      <w:r w:rsidR="00E668B3">
        <w:t>.</w:t>
      </w:r>
      <w:r w:rsidR="00AC4FF5">
        <w:t xml:space="preserve"> </w:t>
      </w:r>
      <w:r w:rsidR="00E668B3">
        <w:t>S</w:t>
      </w:r>
      <w:r w:rsidR="00AC4FF5">
        <w:t>implemente</w:t>
      </w:r>
      <w:r w:rsidR="00E668B3">
        <w:t xml:space="preserve"> </w:t>
      </w:r>
      <w:r w:rsidRPr="00886B5D">
        <w:t>sostuvo que la</w:t>
      </w:r>
      <w:r w:rsidR="00AC4FF5">
        <w:t xml:space="preserve"> presente</w:t>
      </w:r>
      <w:r w:rsidRPr="00886B5D">
        <w:t xml:space="preserve"> acción de inconstitucionalidad era improcedente porque la reforma al artículo 114 de la Constitución Política del Estado Libre y Soberano de Oaxaca no constituía materia electoral</w:t>
      </w:r>
      <w:r>
        <w:rPr>
          <w:rStyle w:val="Refdenotaalpie"/>
        </w:rPr>
        <w:footnoteReference w:id="31"/>
      </w:r>
      <w:r w:rsidRPr="00886B5D">
        <w:t xml:space="preserve">. </w:t>
      </w:r>
    </w:p>
    <w:p w14:paraId="2281B752" w14:textId="45096AFF" w:rsidR="001A2E1C" w:rsidRDefault="00886B5D" w:rsidP="006343FE">
      <w:pPr>
        <w:pStyle w:val="Prrafo"/>
        <w:numPr>
          <w:ilvl w:val="0"/>
          <w:numId w:val="6"/>
        </w:numPr>
        <w:ind w:left="0" w:hanging="567"/>
      </w:pPr>
      <w:r w:rsidRPr="006343FE">
        <w:rPr>
          <w:b/>
        </w:rPr>
        <w:t>Cuesti</w:t>
      </w:r>
      <w:r w:rsidR="00EB6F85">
        <w:rPr>
          <w:b/>
        </w:rPr>
        <w:t>ones</w:t>
      </w:r>
      <w:r w:rsidRPr="006343FE">
        <w:rPr>
          <w:b/>
        </w:rPr>
        <w:t xml:space="preserve"> jurídica</w:t>
      </w:r>
      <w:r w:rsidR="00EB6F85">
        <w:rPr>
          <w:b/>
        </w:rPr>
        <w:t>s</w:t>
      </w:r>
      <w:r w:rsidRPr="006343FE">
        <w:rPr>
          <w:b/>
        </w:rPr>
        <w:t xml:space="preserve"> por resolver. </w:t>
      </w:r>
      <w:r w:rsidR="00BB4CA9">
        <w:t>De</w:t>
      </w:r>
      <w:r w:rsidRPr="00886B5D">
        <w:t xml:space="preserve"> los planteamientos del </w:t>
      </w:r>
      <w:r w:rsidR="00B10E79">
        <w:t xml:space="preserve">partido </w:t>
      </w:r>
      <w:r w:rsidRPr="00886B5D">
        <w:t xml:space="preserve">promovente </w:t>
      </w:r>
      <w:r w:rsidR="00B10E79">
        <w:t>contra</w:t>
      </w:r>
      <w:r w:rsidRPr="00886B5D">
        <w:t xml:space="preserve"> el </w:t>
      </w:r>
      <w:r w:rsidR="00DE0F8B">
        <w:t>decreto impugnado</w:t>
      </w:r>
      <w:r w:rsidRPr="006343FE">
        <w:rPr>
          <w:b/>
        </w:rPr>
        <w:t xml:space="preserve"> </w:t>
      </w:r>
      <w:r w:rsidR="00BB4CA9">
        <w:rPr>
          <w:bCs/>
        </w:rPr>
        <w:t>se desprenden</w:t>
      </w:r>
      <w:r w:rsidRPr="006343FE">
        <w:rPr>
          <w:bCs/>
        </w:rPr>
        <w:t xml:space="preserve"> </w:t>
      </w:r>
      <w:r w:rsidR="00DE0F8B">
        <w:rPr>
          <w:bCs/>
        </w:rPr>
        <w:t>tres</w:t>
      </w:r>
      <w:r w:rsidRPr="00886B5D">
        <w:t xml:space="preserve"> sencilla</w:t>
      </w:r>
      <w:r w:rsidR="004E1FC8">
        <w:t>s</w:t>
      </w:r>
      <w:r w:rsidRPr="00886B5D">
        <w:t xml:space="preserve"> pregunta</w:t>
      </w:r>
      <w:r w:rsidR="004E1FC8">
        <w:t>s</w:t>
      </w:r>
      <w:r w:rsidRPr="00886B5D">
        <w:t xml:space="preserve"> de cuya respuesta depende </w:t>
      </w:r>
      <w:r w:rsidR="00F552F2">
        <w:t xml:space="preserve">que se </w:t>
      </w:r>
      <w:r w:rsidR="000D2571">
        <w:t>declare</w:t>
      </w:r>
      <w:r w:rsidR="00F552F2">
        <w:t xml:space="preserve"> su</w:t>
      </w:r>
      <w:r w:rsidR="00747205">
        <w:t xml:space="preserve"> </w:t>
      </w:r>
      <w:r w:rsidR="000D2571">
        <w:t>in</w:t>
      </w:r>
      <w:r w:rsidR="00747205">
        <w:t>validez</w:t>
      </w:r>
      <w:r w:rsidRPr="00886B5D">
        <w:t>:</w:t>
      </w:r>
    </w:p>
    <w:p w14:paraId="3C342076" w14:textId="2478684A" w:rsidR="001A2E1C" w:rsidRDefault="001A2E1C" w:rsidP="001A2E1C">
      <w:pPr>
        <w:pStyle w:val="corte4fondo"/>
        <w:numPr>
          <w:ilvl w:val="0"/>
          <w:numId w:val="9"/>
        </w:numPr>
        <w:tabs>
          <w:tab w:val="left" w:pos="0"/>
        </w:tabs>
        <w:spacing w:after="360" w:line="360" w:lineRule="auto"/>
        <w:rPr>
          <w:bCs/>
          <w:sz w:val="26"/>
          <w:szCs w:val="26"/>
          <w:lang w:val="es-MX"/>
        </w:rPr>
      </w:pPr>
      <w:bookmarkStart w:id="9" w:name="_Hlk94905135"/>
      <w:r>
        <w:rPr>
          <w:bCs/>
          <w:sz w:val="26"/>
          <w:szCs w:val="26"/>
          <w:lang w:val="es-MX"/>
        </w:rPr>
        <w:t>¿El artículo 114 de la Constitución de Oaxaca obliga a</w:t>
      </w:r>
      <w:r w:rsidR="00514030">
        <w:rPr>
          <w:bCs/>
          <w:sz w:val="26"/>
          <w:szCs w:val="26"/>
          <w:lang w:val="es-MX"/>
        </w:rPr>
        <w:t>l</w:t>
      </w:r>
      <w:r w:rsidRPr="00747205">
        <w:t xml:space="preserve"> </w:t>
      </w:r>
      <w:r w:rsidRPr="00747205">
        <w:rPr>
          <w:bCs/>
          <w:sz w:val="26"/>
          <w:szCs w:val="26"/>
          <w:lang w:val="es-MX"/>
        </w:rPr>
        <w:t xml:space="preserve">Instituto Estatal Electoral y de Participación Ciudadana </w:t>
      </w:r>
      <w:r>
        <w:rPr>
          <w:bCs/>
          <w:sz w:val="26"/>
          <w:szCs w:val="26"/>
          <w:lang w:val="es-MX"/>
        </w:rPr>
        <w:t>y</w:t>
      </w:r>
      <w:r w:rsidRPr="00747205">
        <w:rPr>
          <w:bCs/>
          <w:sz w:val="26"/>
          <w:szCs w:val="26"/>
          <w:lang w:val="es-MX"/>
        </w:rPr>
        <w:t xml:space="preserve"> al Tribunal Electoral del Estado de Oaxaca a rendir</w:t>
      </w:r>
      <w:r w:rsidR="005A7116">
        <w:rPr>
          <w:bCs/>
          <w:sz w:val="26"/>
          <w:szCs w:val="26"/>
          <w:lang w:val="es-MX"/>
        </w:rPr>
        <w:t>, a través de sus titulares,</w:t>
      </w:r>
      <w:r w:rsidRPr="00747205">
        <w:rPr>
          <w:bCs/>
          <w:sz w:val="26"/>
          <w:szCs w:val="26"/>
          <w:lang w:val="es-MX"/>
        </w:rPr>
        <w:t xml:space="preserve"> un informe anual de labores ante el </w:t>
      </w:r>
      <w:r w:rsidR="005A7116">
        <w:rPr>
          <w:bCs/>
          <w:sz w:val="26"/>
          <w:szCs w:val="26"/>
          <w:lang w:val="es-MX"/>
        </w:rPr>
        <w:t xml:space="preserve">pleno del </w:t>
      </w:r>
      <w:r w:rsidRPr="00747205">
        <w:rPr>
          <w:bCs/>
          <w:sz w:val="26"/>
          <w:szCs w:val="26"/>
          <w:lang w:val="es-MX"/>
        </w:rPr>
        <w:t xml:space="preserve">Congreso </w:t>
      </w:r>
      <w:r w:rsidR="00202A6B">
        <w:rPr>
          <w:bCs/>
          <w:sz w:val="26"/>
          <w:szCs w:val="26"/>
          <w:lang w:val="es-MX"/>
        </w:rPr>
        <w:t>del Estado</w:t>
      </w:r>
      <w:r>
        <w:rPr>
          <w:bCs/>
          <w:sz w:val="26"/>
          <w:szCs w:val="26"/>
          <w:lang w:val="es-MX"/>
        </w:rPr>
        <w:t>?</w:t>
      </w:r>
      <w:bookmarkEnd w:id="9"/>
    </w:p>
    <w:p w14:paraId="77452EDE" w14:textId="06143A9A" w:rsidR="00245EED" w:rsidRDefault="00B10E79" w:rsidP="00245EED">
      <w:pPr>
        <w:pStyle w:val="corte4fondo"/>
        <w:numPr>
          <w:ilvl w:val="0"/>
          <w:numId w:val="9"/>
        </w:numPr>
        <w:tabs>
          <w:tab w:val="left" w:pos="0"/>
        </w:tabs>
        <w:spacing w:after="360" w:line="360" w:lineRule="auto"/>
        <w:rPr>
          <w:bCs/>
          <w:sz w:val="26"/>
          <w:szCs w:val="26"/>
          <w:lang w:val="es-MX"/>
        </w:rPr>
      </w:pPr>
      <w:r>
        <w:rPr>
          <w:bCs/>
          <w:sz w:val="26"/>
          <w:szCs w:val="26"/>
          <w:lang w:val="es-MX"/>
        </w:rPr>
        <w:t>¿</w:t>
      </w:r>
      <w:r w:rsidR="00C71412">
        <w:rPr>
          <w:bCs/>
          <w:sz w:val="26"/>
          <w:szCs w:val="26"/>
          <w:lang w:val="es-MX"/>
        </w:rPr>
        <w:t>Es</w:t>
      </w:r>
      <w:r w:rsidR="009D40B4">
        <w:rPr>
          <w:bCs/>
          <w:sz w:val="26"/>
          <w:szCs w:val="26"/>
          <w:lang w:val="es-MX"/>
        </w:rPr>
        <w:t>a</w:t>
      </w:r>
      <w:r>
        <w:rPr>
          <w:bCs/>
          <w:sz w:val="26"/>
          <w:szCs w:val="26"/>
          <w:lang w:val="es-MX"/>
        </w:rPr>
        <w:t xml:space="preserve"> obligación </w:t>
      </w:r>
      <w:r>
        <w:rPr>
          <w:rFonts w:cs="Arial"/>
          <w:sz w:val="26"/>
          <w:szCs w:val="26"/>
        </w:rPr>
        <w:t xml:space="preserve">vulnera la autonomía e independencia de las </w:t>
      </w:r>
      <w:r w:rsidR="009D40B4">
        <w:rPr>
          <w:rFonts w:cs="Arial"/>
          <w:sz w:val="26"/>
          <w:szCs w:val="26"/>
        </w:rPr>
        <w:t>autoridades</w:t>
      </w:r>
      <w:r>
        <w:rPr>
          <w:rFonts w:cs="Arial"/>
          <w:sz w:val="26"/>
          <w:szCs w:val="26"/>
        </w:rPr>
        <w:t xml:space="preserve"> electorales del Estado de Oaxaca?</w:t>
      </w:r>
      <w:r w:rsidR="00245EED" w:rsidRPr="00245EED">
        <w:rPr>
          <w:bCs/>
          <w:sz w:val="26"/>
          <w:szCs w:val="26"/>
          <w:lang w:val="es-MX"/>
        </w:rPr>
        <w:t xml:space="preserve"> </w:t>
      </w:r>
    </w:p>
    <w:p w14:paraId="5478AA41" w14:textId="487FD3AD" w:rsidR="00B10E79" w:rsidRPr="00B10E79" w:rsidRDefault="00245EED" w:rsidP="00B10E79">
      <w:pPr>
        <w:pStyle w:val="corte4fondo"/>
        <w:numPr>
          <w:ilvl w:val="0"/>
          <w:numId w:val="9"/>
        </w:numPr>
        <w:tabs>
          <w:tab w:val="left" w:pos="0"/>
        </w:tabs>
        <w:spacing w:after="360" w:line="360" w:lineRule="auto"/>
        <w:rPr>
          <w:bCs/>
          <w:sz w:val="26"/>
          <w:szCs w:val="26"/>
          <w:lang w:val="es-MX"/>
        </w:rPr>
      </w:pPr>
      <w:r>
        <w:rPr>
          <w:bCs/>
          <w:sz w:val="26"/>
          <w:szCs w:val="26"/>
          <w:lang w:val="es-MX"/>
        </w:rPr>
        <w:t>¿</w:t>
      </w:r>
      <w:r w:rsidR="00C71412">
        <w:rPr>
          <w:bCs/>
          <w:sz w:val="26"/>
          <w:szCs w:val="26"/>
          <w:lang w:val="es-MX"/>
        </w:rPr>
        <w:t>Es</w:t>
      </w:r>
      <w:r w:rsidR="009D40B4">
        <w:rPr>
          <w:bCs/>
          <w:sz w:val="26"/>
          <w:szCs w:val="26"/>
          <w:lang w:val="es-MX"/>
        </w:rPr>
        <w:t>a</w:t>
      </w:r>
      <w:r w:rsidRPr="00B10E79">
        <w:rPr>
          <w:bCs/>
          <w:sz w:val="26"/>
          <w:szCs w:val="26"/>
          <w:lang w:val="es-MX"/>
        </w:rPr>
        <w:t xml:space="preserve"> </w:t>
      </w:r>
      <w:r>
        <w:rPr>
          <w:bCs/>
          <w:sz w:val="26"/>
          <w:szCs w:val="26"/>
          <w:lang w:val="es-MX"/>
        </w:rPr>
        <w:t xml:space="preserve">obligación </w:t>
      </w:r>
      <w:r w:rsidRPr="001A2E1C">
        <w:rPr>
          <w:bCs/>
          <w:sz w:val="26"/>
          <w:szCs w:val="26"/>
          <w:lang w:val="es-MX"/>
        </w:rPr>
        <w:t>invade las competencias</w:t>
      </w:r>
      <w:r>
        <w:rPr>
          <w:bCs/>
          <w:sz w:val="26"/>
          <w:szCs w:val="26"/>
          <w:lang w:val="es-MX"/>
        </w:rPr>
        <w:t xml:space="preserve"> exclusivas</w:t>
      </w:r>
      <w:r w:rsidRPr="001A2E1C">
        <w:rPr>
          <w:bCs/>
          <w:sz w:val="26"/>
          <w:szCs w:val="26"/>
          <w:lang w:val="es-MX"/>
        </w:rPr>
        <w:t xml:space="preserve"> del Congreso de la Unión?</w:t>
      </w:r>
    </w:p>
    <w:p w14:paraId="690B1C05" w14:textId="54B1348B" w:rsidR="00886B5D" w:rsidRPr="001A2E1C" w:rsidRDefault="001A2E1C" w:rsidP="001A2E1C">
      <w:pPr>
        <w:pStyle w:val="Prrafo"/>
        <w:numPr>
          <w:ilvl w:val="0"/>
          <w:numId w:val="6"/>
        </w:numPr>
        <w:ind w:left="0" w:hanging="567"/>
      </w:pPr>
      <w:r>
        <w:rPr>
          <w:bCs/>
        </w:rPr>
        <w:t>A continuación, se aborda la primera de estas cuestiones.</w:t>
      </w:r>
      <w:r>
        <w:rPr>
          <w:b/>
        </w:rPr>
        <w:t xml:space="preserve"> </w:t>
      </w:r>
      <w:r w:rsidR="00886B5D" w:rsidRPr="006343FE">
        <w:rPr>
          <w:b/>
        </w:rPr>
        <w:t xml:space="preserve"> </w:t>
      </w:r>
      <w:r w:rsidR="00886B5D" w:rsidRPr="001A2E1C">
        <w:t xml:space="preserve">  </w:t>
      </w:r>
    </w:p>
    <w:p w14:paraId="70FA717C" w14:textId="30EAE009" w:rsidR="00BD4E72" w:rsidRDefault="00F15FD9" w:rsidP="00F15FD9">
      <w:pPr>
        <w:pStyle w:val="Prrafo"/>
        <w:rPr>
          <w:b/>
          <w:bCs/>
        </w:rPr>
      </w:pPr>
      <w:r w:rsidRPr="00FC27A7">
        <w:rPr>
          <w:b/>
          <w:bCs/>
        </w:rPr>
        <w:t>VI.</w:t>
      </w:r>
      <w:r w:rsidR="00886B5D" w:rsidRPr="00FC27A7">
        <w:rPr>
          <w:b/>
          <w:bCs/>
        </w:rPr>
        <w:t>1</w:t>
      </w:r>
      <w:r w:rsidRPr="00FC27A7">
        <w:rPr>
          <w:b/>
          <w:bCs/>
        </w:rPr>
        <w:t>.</w:t>
      </w:r>
      <w:r w:rsidR="00BD4E72" w:rsidRPr="00BD4E72">
        <w:t xml:space="preserve"> </w:t>
      </w:r>
      <w:r w:rsidR="00BD4E72" w:rsidRPr="00BD4E72">
        <w:rPr>
          <w:b/>
          <w:bCs/>
        </w:rPr>
        <w:t>¿El artículo 114 de la Constitución de Oaxaca obliga a</w:t>
      </w:r>
      <w:r w:rsidR="00C50BFE">
        <w:rPr>
          <w:b/>
          <w:bCs/>
        </w:rPr>
        <w:t>l</w:t>
      </w:r>
      <w:r w:rsidR="00BD4E72" w:rsidRPr="00BD4E72">
        <w:rPr>
          <w:b/>
          <w:bCs/>
        </w:rPr>
        <w:t xml:space="preserve"> Instituto Estatal Electoral y de Participación Ciudadana y al Tribunal Electoral del Estado de Oaxaca a rendir</w:t>
      </w:r>
      <w:r w:rsidR="005A7116">
        <w:rPr>
          <w:b/>
          <w:bCs/>
        </w:rPr>
        <w:t>, a través de sus titulares,</w:t>
      </w:r>
      <w:r w:rsidR="00BD4E72" w:rsidRPr="00BD4E72">
        <w:rPr>
          <w:b/>
          <w:bCs/>
        </w:rPr>
        <w:t xml:space="preserve"> un informe anual de labores ante el</w:t>
      </w:r>
      <w:r w:rsidR="005A7116">
        <w:rPr>
          <w:b/>
          <w:bCs/>
        </w:rPr>
        <w:t xml:space="preserve"> pleno del</w:t>
      </w:r>
      <w:r w:rsidR="00202A6B">
        <w:rPr>
          <w:b/>
          <w:bCs/>
        </w:rPr>
        <w:t xml:space="preserve"> </w:t>
      </w:r>
      <w:r w:rsidR="00BD4E72" w:rsidRPr="00BD4E72">
        <w:rPr>
          <w:b/>
          <w:bCs/>
        </w:rPr>
        <w:t xml:space="preserve">Congreso </w:t>
      </w:r>
      <w:r w:rsidR="00202A6B">
        <w:rPr>
          <w:b/>
          <w:bCs/>
        </w:rPr>
        <w:t>del Estado</w:t>
      </w:r>
      <w:r w:rsidR="00BD4E72" w:rsidRPr="00BD4E72">
        <w:rPr>
          <w:b/>
          <w:bCs/>
        </w:rPr>
        <w:t>?</w:t>
      </w:r>
    </w:p>
    <w:p w14:paraId="6EB67486" w14:textId="68B923A8" w:rsidR="00615111" w:rsidRPr="00DA0D3C" w:rsidRDefault="002549B3" w:rsidP="00615111">
      <w:pPr>
        <w:pStyle w:val="Prrafo"/>
        <w:numPr>
          <w:ilvl w:val="0"/>
          <w:numId w:val="6"/>
        </w:numPr>
        <w:ind w:left="0" w:hanging="567"/>
        <w:rPr>
          <w:bCs/>
        </w:rPr>
      </w:pPr>
      <w:r w:rsidRPr="00DA0D3C">
        <w:rPr>
          <w:bCs/>
        </w:rPr>
        <w:t>Está fuera de duda que el artículo 114</w:t>
      </w:r>
      <w:r w:rsidR="00AC616C" w:rsidRPr="00DA0D3C">
        <w:rPr>
          <w:bCs/>
        </w:rPr>
        <w:t xml:space="preserve"> de la Constitución de Oaxaca</w:t>
      </w:r>
      <w:r w:rsidRPr="00DA0D3C">
        <w:rPr>
          <w:bCs/>
        </w:rPr>
        <w:t xml:space="preserve"> impone a los órganos autónomos del Estado de Oaxaca</w:t>
      </w:r>
      <w:r w:rsidR="00D92D07" w:rsidRPr="00DA0D3C">
        <w:rPr>
          <w:bCs/>
        </w:rPr>
        <w:t xml:space="preserve"> la obligación de rendir un informe anual de labores ante el</w:t>
      </w:r>
      <w:r w:rsidR="000D0742" w:rsidRPr="00DA0D3C">
        <w:rPr>
          <w:bCs/>
        </w:rPr>
        <w:t xml:space="preserve"> </w:t>
      </w:r>
      <w:r w:rsidR="00D92D07" w:rsidRPr="00DA0D3C">
        <w:rPr>
          <w:bCs/>
        </w:rPr>
        <w:t>Congreso local</w:t>
      </w:r>
      <w:r w:rsidR="00733088" w:rsidRPr="00DA0D3C">
        <w:rPr>
          <w:bCs/>
        </w:rPr>
        <w:t>.</w:t>
      </w:r>
      <w:r w:rsidR="0021319E" w:rsidRPr="00DA0D3C">
        <w:rPr>
          <w:bCs/>
        </w:rPr>
        <w:t xml:space="preserve"> </w:t>
      </w:r>
      <w:r w:rsidR="006316FC" w:rsidRPr="00DA0D3C">
        <w:rPr>
          <w:bCs/>
        </w:rPr>
        <w:t>Como se refirió</w:t>
      </w:r>
      <w:r w:rsidR="00177B60" w:rsidRPr="00DA0D3C">
        <w:rPr>
          <w:bCs/>
        </w:rPr>
        <w:t xml:space="preserve"> líneas arriba</w:t>
      </w:r>
      <w:r w:rsidR="006316FC" w:rsidRPr="00DA0D3C">
        <w:rPr>
          <w:bCs/>
        </w:rPr>
        <w:t xml:space="preserve"> (</w:t>
      </w:r>
      <w:r w:rsidR="006316FC" w:rsidRPr="00DA0D3C">
        <w:rPr>
          <w:bCs/>
          <w:i/>
          <w:iCs/>
        </w:rPr>
        <w:t>supra</w:t>
      </w:r>
      <w:r w:rsidR="006316FC" w:rsidRPr="00DA0D3C">
        <w:rPr>
          <w:bCs/>
        </w:rPr>
        <w:t xml:space="preserve"> párr. 28),</w:t>
      </w:r>
      <w:r w:rsidR="0093132A" w:rsidRPr="00DA0D3C">
        <w:rPr>
          <w:bCs/>
        </w:rPr>
        <w:t xml:space="preserve"> </w:t>
      </w:r>
      <w:r w:rsidR="00D31BD8" w:rsidRPr="00DA0D3C">
        <w:rPr>
          <w:bCs/>
        </w:rPr>
        <w:t>l</w:t>
      </w:r>
      <w:r w:rsidR="0093132A" w:rsidRPr="00DA0D3C">
        <w:rPr>
          <w:bCs/>
        </w:rPr>
        <w:t>a obligación existía</w:t>
      </w:r>
      <w:r w:rsidR="00DC019F" w:rsidRPr="00DA0D3C">
        <w:rPr>
          <w:bCs/>
        </w:rPr>
        <w:t xml:space="preserve"> desde </w:t>
      </w:r>
      <w:r w:rsidR="00615111" w:rsidRPr="00DA0D3C">
        <w:rPr>
          <w:bCs/>
        </w:rPr>
        <w:t>la versión</w:t>
      </w:r>
      <w:r w:rsidR="00DC019F" w:rsidRPr="00DA0D3C">
        <w:rPr>
          <w:bCs/>
        </w:rPr>
        <w:t xml:space="preserve"> anterior</w:t>
      </w:r>
      <w:r w:rsidR="00615111" w:rsidRPr="00DA0D3C">
        <w:rPr>
          <w:bCs/>
        </w:rPr>
        <w:t xml:space="preserve"> de</w:t>
      </w:r>
      <w:r w:rsidR="00D31BD8" w:rsidRPr="00DA0D3C">
        <w:rPr>
          <w:bCs/>
        </w:rPr>
        <w:t xml:space="preserve"> ese</w:t>
      </w:r>
      <w:r w:rsidR="00615111" w:rsidRPr="00DA0D3C">
        <w:rPr>
          <w:bCs/>
        </w:rPr>
        <w:t xml:space="preserve"> precepto</w:t>
      </w:r>
      <w:r w:rsidR="00AF3046" w:rsidRPr="00DA0D3C">
        <w:rPr>
          <w:bCs/>
        </w:rPr>
        <w:t>.</w:t>
      </w:r>
      <w:r w:rsidR="00615111" w:rsidRPr="00DA0D3C">
        <w:rPr>
          <w:bCs/>
        </w:rPr>
        <w:t xml:space="preserve"> </w:t>
      </w:r>
      <w:r w:rsidR="00AF3046" w:rsidRPr="00DA0D3C">
        <w:rPr>
          <w:bCs/>
        </w:rPr>
        <w:t>L</w:t>
      </w:r>
      <w:r w:rsidR="006316FC" w:rsidRPr="00DA0D3C">
        <w:rPr>
          <w:bCs/>
        </w:rPr>
        <w:t>as reformas que introdujo el Decreto</w:t>
      </w:r>
      <w:r w:rsidR="006316FC" w:rsidRPr="00DA0D3C">
        <w:t xml:space="preserve"> 2617</w:t>
      </w:r>
      <w:r w:rsidR="00177B60" w:rsidRPr="00DA0D3C">
        <w:t xml:space="preserve"> </w:t>
      </w:r>
      <w:r w:rsidR="00CA5FBC" w:rsidRPr="00DA0D3C">
        <w:t xml:space="preserve">aquí </w:t>
      </w:r>
      <w:r w:rsidR="00AF3046" w:rsidRPr="00DA0D3C">
        <w:t xml:space="preserve">impugnado </w:t>
      </w:r>
      <w:r w:rsidR="00177B60" w:rsidRPr="00DA0D3C">
        <w:t xml:space="preserve">simplemente establecieron </w:t>
      </w:r>
      <w:r w:rsidR="00A23F32" w:rsidRPr="00DA0D3C">
        <w:t xml:space="preserve">nuevas </w:t>
      </w:r>
      <w:r w:rsidR="00177B60" w:rsidRPr="00DA0D3C">
        <w:t xml:space="preserve">modalidades para </w:t>
      </w:r>
      <w:r w:rsidR="00F91B9A" w:rsidRPr="00DA0D3C">
        <w:t>su</w:t>
      </w:r>
      <w:r w:rsidR="00177B60" w:rsidRPr="00DA0D3C">
        <w:t xml:space="preserve"> cumplimiento</w:t>
      </w:r>
      <w:r w:rsidR="00F91B9A" w:rsidRPr="00DA0D3C">
        <w:t xml:space="preserve"> por los </w:t>
      </w:r>
      <w:r w:rsidR="00202A6B" w:rsidRPr="00DA0D3C">
        <w:t>órganos</w:t>
      </w:r>
      <w:r w:rsidR="00F91B9A" w:rsidRPr="00DA0D3C">
        <w:t xml:space="preserve"> obligados</w:t>
      </w:r>
      <w:r w:rsidR="00177B60" w:rsidRPr="00DA0D3C">
        <w:t>.</w:t>
      </w:r>
      <w:r w:rsidR="00202A6B" w:rsidRPr="00DA0D3C">
        <w:t xml:space="preserve"> </w:t>
      </w:r>
      <w:r w:rsidR="00D03DD1" w:rsidRPr="00DA0D3C">
        <w:t>S</w:t>
      </w:r>
      <w:r w:rsidR="00202A6B" w:rsidRPr="00DA0D3C">
        <w:t>e dispuso que el informe sería rendido por los titulares de los órganos autónomos,</w:t>
      </w:r>
      <w:r w:rsidR="000D0742" w:rsidRPr="00DA0D3C">
        <w:t xml:space="preserve"> y</w:t>
      </w:r>
      <w:r w:rsidR="00202A6B" w:rsidRPr="00DA0D3C">
        <w:t xml:space="preserve"> </w:t>
      </w:r>
      <w:r w:rsidR="000D0742" w:rsidRPr="00DA0D3C">
        <w:t xml:space="preserve">que </w:t>
      </w:r>
      <w:r w:rsidR="00E6253C" w:rsidRPr="00DA0D3C">
        <w:t>se</w:t>
      </w:r>
      <w:r w:rsidR="000D0742" w:rsidRPr="00DA0D3C">
        <w:t xml:space="preserve"> haría </w:t>
      </w:r>
      <w:r w:rsidR="00202A6B" w:rsidRPr="00DA0D3C">
        <w:t xml:space="preserve">ante el Pleno del Congreso del Estado de </w:t>
      </w:r>
      <w:r w:rsidR="000D0742" w:rsidRPr="00DA0D3C">
        <w:t xml:space="preserve">Oaxaca. </w:t>
      </w:r>
      <w:r w:rsidR="002920C0" w:rsidRPr="00DA0D3C">
        <w:rPr>
          <w:bCs/>
        </w:rPr>
        <w:t>De este modo, l</w:t>
      </w:r>
      <w:r w:rsidR="000D0742" w:rsidRPr="00DA0D3C">
        <w:rPr>
          <w:bCs/>
        </w:rPr>
        <w:t>a</w:t>
      </w:r>
      <w:r w:rsidR="0021319E" w:rsidRPr="00DA0D3C">
        <w:rPr>
          <w:bCs/>
        </w:rPr>
        <w:t xml:space="preserve"> cuestión</w:t>
      </w:r>
      <w:r w:rsidRPr="00DA0D3C">
        <w:rPr>
          <w:bCs/>
        </w:rPr>
        <w:t xml:space="preserve"> aquí</w:t>
      </w:r>
      <w:r w:rsidR="0021319E" w:rsidRPr="00DA0D3C">
        <w:rPr>
          <w:bCs/>
        </w:rPr>
        <w:t xml:space="preserve"> se reduce</w:t>
      </w:r>
      <w:r w:rsidR="00F65FD3" w:rsidRPr="00DA0D3C">
        <w:rPr>
          <w:bCs/>
        </w:rPr>
        <w:t xml:space="preserve"> </w:t>
      </w:r>
      <w:r w:rsidR="0021319E" w:rsidRPr="00DA0D3C">
        <w:rPr>
          <w:bCs/>
        </w:rPr>
        <w:t xml:space="preserve">a dilucidar si </w:t>
      </w:r>
      <w:r w:rsidR="00D92D07" w:rsidRPr="00DA0D3C">
        <w:rPr>
          <w:bCs/>
        </w:rPr>
        <w:t>la</w:t>
      </w:r>
      <w:r w:rsidR="00615111" w:rsidRPr="00DA0D3C">
        <w:rPr>
          <w:bCs/>
        </w:rPr>
        <w:t>s</w:t>
      </w:r>
      <w:r w:rsidR="00D92D07" w:rsidRPr="00DA0D3C">
        <w:rPr>
          <w:bCs/>
        </w:rPr>
        <w:t xml:space="preserve"> autoridad</w:t>
      </w:r>
      <w:r w:rsidR="00615111" w:rsidRPr="00DA0D3C">
        <w:rPr>
          <w:bCs/>
        </w:rPr>
        <w:t>es</w:t>
      </w:r>
      <w:r w:rsidR="00D92D07" w:rsidRPr="00DA0D3C">
        <w:rPr>
          <w:bCs/>
        </w:rPr>
        <w:t xml:space="preserve"> electoral</w:t>
      </w:r>
      <w:r w:rsidR="00615111" w:rsidRPr="00DA0D3C">
        <w:rPr>
          <w:bCs/>
        </w:rPr>
        <w:t>es</w:t>
      </w:r>
      <w:r w:rsidR="009A7ED5" w:rsidRPr="00DA0D3C">
        <w:rPr>
          <w:bCs/>
        </w:rPr>
        <w:t xml:space="preserve"> locales</w:t>
      </w:r>
      <w:r w:rsidR="0021319E" w:rsidRPr="00DA0D3C">
        <w:rPr>
          <w:bCs/>
        </w:rPr>
        <w:t xml:space="preserve"> </w:t>
      </w:r>
      <w:r w:rsidR="00D92D07" w:rsidRPr="00DA0D3C">
        <w:rPr>
          <w:bCs/>
        </w:rPr>
        <w:t>de</w:t>
      </w:r>
      <w:r w:rsidR="009A7ED5" w:rsidRPr="00DA0D3C">
        <w:rPr>
          <w:bCs/>
        </w:rPr>
        <w:t>l Estado de</w:t>
      </w:r>
      <w:r w:rsidR="00D92D07" w:rsidRPr="00DA0D3C">
        <w:rPr>
          <w:bCs/>
        </w:rPr>
        <w:t xml:space="preserve"> Oaxaca</w:t>
      </w:r>
      <w:r w:rsidR="00615111" w:rsidRPr="00DA0D3C">
        <w:rPr>
          <w:bCs/>
        </w:rPr>
        <w:t>, tanto la administrativa como la judicial,</w:t>
      </w:r>
      <w:r w:rsidR="0021319E" w:rsidRPr="00DA0D3C">
        <w:rPr>
          <w:bCs/>
        </w:rPr>
        <w:t xml:space="preserve"> </w:t>
      </w:r>
      <w:r w:rsidRPr="00DA0D3C">
        <w:rPr>
          <w:bCs/>
        </w:rPr>
        <w:t>son destinatarios de esa obligación</w:t>
      </w:r>
      <w:r w:rsidR="0021319E" w:rsidRPr="00DA0D3C">
        <w:rPr>
          <w:bCs/>
        </w:rPr>
        <w:t>.</w:t>
      </w:r>
    </w:p>
    <w:p w14:paraId="7B015B69" w14:textId="3EF32A51" w:rsidR="00A906C5" w:rsidRPr="00615111" w:rsidRDefault="009A7ED5" w:rsidP="00615111">
      <w:pPr>
        <w:pStyle w:val="Prrafo"/>
        <w:numPr>
          <w:ilvl w:val="0"/>
          <w:numId w:val="6"/>
        </w:numPr>
        <w:ind w:left="0" w:hanging="567"/>
        <w:rPr>
          <w:bCs/>
        </w:rPr>
      </w:pPr>
      <w:r>
        <w:rPr>
          <w:bCs/>
        </w:rPr>
        <w:t>Responder esta interrogante</w:t>
      </w:r>
      <w:r w:rsidR="001B5BF4" w:rsidRPr="00615111">
        <w:rPr>
          <w:bCs/>
        </w:rPr>
        <w:t xml:space="preserve"> no </w:t>
      </w:r>
      <w:r w:rsidR="008E7EF3">
        <w:rPr>
          <w:bCs/>
        </w:rPr>
        <w:t>tiene</w:t>
      </w:r>
      <w:r w:rsidR="001B5BF4" w:rsidRPr="00615111">
        <w:rPr>
          <w:bCs/>
        </w:rPr>
        <w:t xml:space="preserve"> mayor complicación</w:t>
      </w:r>
      <w:r w:rsidR="001121D3" w:rsidRPr="00615111">
        <w:rPr>
          <w:bCs/>
        </w:rPr>
        <w:t xml:space="preserve">, pues </w:t>
      </w:r>
      <w:r w:rsidR="002A72D2">
        <w:rPr>
          <w:bCs/>
        </w:rPr>
        <w:t>esta</w:t>
      </w:r>
      <w:r w:rsidR="001121D3" w:rsidRPr="00615111">
        <w:rPr>
          <w:bCs/>
        </w:rPr>
        <w:t xml:space="preserve"> </w:t>
      </w:r>
      <w:r w:rsidR="002A72D2">
        <w:rPr>
          <w:bCs/>
        </w:rPr>
        <w:t>Suprema</w:t>
      </w:r>
      <w:r w:rsidR="001121D3" w:rsidRPr="00615111">
        <w:rPr>
          <w:bCs/>
        </w:rPr>
        <w:t xml:space="preserve"> </w:t>
      </w:r>
      <w:r w:rsidR="002A72D2">
        <w:rPr>
          <w:bCs/>
        </w:rPr>
        <w:t>Corte</w:t>
      </w:r>
      <w:r w:rsidR="001121D3" w:rsidRPr="00615111">
        <w:rPr>
          <w:bCs/>
        </w:rPr>
        <w:t xml:space="preserve"> ya se ocupó de</w:t>
      </w:r>
      <w:r>
        <w:rPr>
          <w:bCs/>
        </w:rPr>
        <w:t xml:space="preserve"> ella</w:t>
      </w:r>
      <w:r w:rsidR="00A54732">
        <w:rPr>
          <w:bCs/>
        </w:rPr>
        <w:t xml:space="preserve"> al resolver la </w:t>
      </w:r>
      <w:r w:rsidR="00A54732" w:rsidRPr="00A54732">
        <w:rPr>
          <w:b/>
        </w:rPr>
        <w:t>acción de inconstitucionalidad</w:t>
      </w:r>
      <w:r w:rsidR="00A54732">
        <w:rPr>
          <w:bCs/>
        </w:rPr>
        <w:t xml:space="preserve"> </w:t>
      </w:r>
      <w:r w:rsidR="00A54732" w:rsidRPr="00181E4B">
        <w:rPr>
          <w:b/>
          <w:bCs/>
        </w:rPr>
        <w:t>53/2015 y sus acumuladas</w:t>
      </w:r>
      <w:r w:rsidR="00A54732">
        <w:rPr>
          <w:rStyle w:val="Refdenotaalpie"/>
          <w:bCs/>
        </w:rPr>
        <w:footnoteReference w:id="32"/>
      </w:r>
      <w:r w:rsidR="001D69C1">
        <w:rPr>
          <w:bCs/>
        </w:rPr>
        <w:t>.</w:t>
      </w:r>
      <w:r w:rsidR="00A54732">
        <w:rPr>
          <w:bCs/>
        </w:rPr>
        <w:t xml:space="preserve"> </w:t>
      </w:r>
      <w:r w:rsidR="0081667A">
        <w:rPr>
          <w:bCs/>
        </w:rPr>
        <w:t>E</w:t>
      </w:r>
      <w:r w:rsidR="001D69C1">
        <w:rPr>
          <w:bCs/>
        </w:rPr>
        <w:t xml:space="preserve">n </w:t>
      </w:r>
      <w:r w:rsidR="0057685B">
        <w:rPr>
          <w:bCs/>
        </w:rPr>
        <w:t>aquella</w:t>
      </w:r>
      <w:r w:rsidR="001D69C1">
        <w:rPr>
          <w:bCs/>
        </w:rPr>
        <w:t xml:space="preserve"> ocasión </w:t>
      </w:r>
      <w:r w:rsidR="00B578C6">
        <w:rPr>
          <w:bCs/>
        </w:rPr>
        <w:t>el partido político Movimiento de Regeneración Nacional (MORENA)</w:t>
      </w:r>
      <w:r>
        <w:rPr>
          <w:bCs/>
        </w:rPr>
        <w:t xml:space="preserve"> </w:t>
      </w:r>
      <w:r w:rsidR="00AF3046">
        <w:rPr>
          <w:bCs/>
        </w:rPr>
        <w:t>impugnó</w:t>
      </w:r>
      <w:r w:rsidR="00D5402F">
        <w:rPr>
          <w:bCs/>
        </w:rPr>
        <w:t xml:space="preserve"> </w:t>
      </w:r>
      <w:r>
        <w:rPr>
          <w:bCs/>
        </w:rPr>
        <w:t>la versión anterior de ese mismo precepto</w:t>
      </w:r>
      <w:r w:rsidR="002A57B2">
        <w:rPr>
          <w:bCs/>
        </w:rPr>
        <w:t xml:space="preserve"> </w:t>
      </w:r>
      <w:r w:rsidR="0048384D">
        <w:rPr>
          <w:bCs/>
        </w:rPr>
        <w:t>precisamente</w:t>
      </w:r>
      <w:r w:rsidR="001D69C1" w:rsidRPr="001D69C1">
        <w:rPr>
          <w:bCs/>
        </w:rPr>
        <w:t xml:space="preserve"> </w:t>
      </w:r>
      <w:r w:rsidR="001D69C1">
        <w:rPr>
          <w:bCs/>
        </w:rPr>
        <w:t xml:space="preserve">por </w:t>
      </w:r>
      <w:r w:rsidR="0048384D">
        <w:rPr>
          <w:bCs/>
        </w:rPr>
        <w:t>las</w:t>
      </w:r>
      <w:r w:rsidR="001D69C1">
        <w:rPr>
          <w:bCs/>
        </w:rPr>
        <w:t xml:space="preserve"> razones</w:t>
      </w:r>
      <w:r w:rsidR="00713E7B">
        <w:rPr>
          <w:bCs/>
        </w:rPr>
        <w:t xml:space="preserve"> </w:t>
      </w:r>
      <w:r w:rsidR="001D69C1">
        <w:rPr>
          <w:bCs/>
        </w:rPr>
        <w:t>que</w:t>
      </w:r>
      <w:r w:rsidR="00514FBE" w:rsidRPr="00514FBE">
        <w:rPr>
          <w:bCs/>
        </w:rPr>
        <w:t xml:space="preserve"> </w:t>
      </w:r>
      <w:r w:rsidR="00B578C6">
        <w:rPr>
          <w:bCs/>
        </w:rPr>
        <w:t>hoy</w:t>
      </w:r>
      <w:r w:rsidR="006D7EF5" w:rsidRPr="006D7EF5">
        <w:rPr>
          <w:bCs/>
        </w:rPr>
        <w:t xml:space="preserve"> </w:t>
      </w:r>
      <w:r w:rsidR="008E0730">
        <w:rPr>
          <w:bCs/>
        </w:rPr>
        <w:t xml:space="preserve">el partido accionante </w:t>
      </w:r>
      <w:r w:rsidR="006D7EF5">
        <w:rPr>
          <w:bCs/>
        </w:rPr>
        <w:t xml:space="preserve">controvierte </w:t>
      </w:r>
      <w:r w:rsidR="00364122">
        <w:rPr>
          <w:bCs/>
        </w:rPr>
        <w:t>la</w:t>
      </w:r>
      <w:r w:rsidR="006D7EF5">
        <w:rPr>
          <w:bCs/>
        </w:rPr>
        <w:t xml:space="preserve"> nueva redacción</w:t>
      </w:r>
      <w:r w:rsidR="0081667A">
        <w:rPr>
          <w:bCs/>
        </w:rPr>
        <w:t xml:space="preserve">. </w:t>
      </w:r>
      <w:r w:rsidR="0099137A">
        <w:rPr>
          <w:bCs/>
        </w:rPr>
        <w:t>T</w:t>
      </w:r>
      <w:r w:rsidR="0081667A">
        <w:rPr>
          <w:bCs/>
        </w:rPr>
        <w:t>oda vez que</w:t>
      </w:r>
      <w:r w:rsidR="001D69C1">
        <w:rPr>
          <w:bCs/>
        </w:rPr>
        <w:t xml:space="preserve"> </w:t>
      </w:r>
      <w:r w:rsidR="006015D4">
        <w:rPr>
          <w:bCs/>
        </w:rPr>
        <w:t>el artículo</w:t>
      </w:r>
      <w:r w:rsidR="003078DD">
        <w:rPr>
          <w:bCs/>
        </w:rPr>
        <w:t xml:space="preserve"> impugnado</w:t>
      </w:r>
      <w:r w:rsidR="001D69C1">
        <w:rPr>
          <w:bCs/>
        </w:rPr>
        <w:t xml:space="preserve"> no sufrió </w:t>
      </w:r>
      <w:r w:rsidR="00B57DE2">
        <w:rPr>
          <w:bCs/>
        </w:rPr>
        <w:t>modificación alguna</w:t>
      </w:r>
      <w:r w:rsidR="001D69C1">
        <w:rPr>
          <w:bCs/>
        </w:rPr>
        <w:t xml:space="preserve"> en relación con los destinatarios de la obligación</w:t>
      </w:r>
      <w:r w:rsidR="005035A9">
        <w:rPr>
          <w:bCs/>
        </w:rPr>
        <w:t xml:space="preserve"> de rendir el informe</w:t>
      </w:r>
      <w:r w:rsidR="001D69C1">
        <w:rPr>
          <w:bCs/>
        </w:rPr>
        <w:t>, sino únicamente respecto de las modalidades para su cumplimiento</w:t>
      </w:r>
      <w:r w:rsidR="00B57DE2">
        <w:rPr>
          <w:bCs/>
        </w:rPr>
        <w:t xml:space="preserve"> por los órganos obligados</w:t>
      </w:r>
      <w:r w:rsidR="001D69C1">
        <w:rPr>
          <w:bCs/>
        </w:rPr>
        <w:t>,</w:t>
      </w:r>
      <w:r w:rsidR="00254511">
        <w:rPr>
          <w:bCs/>
        </w:rPr>
        <w:t xml:space="preserve"> </w:t>
      </w:r>
      <w:r w:rsidR="001D69C1">
        <w:rPr>
          <w:bCs/>
        </w:rPr>
        <w:t>las</w:t>
      </w:r>
      <w:r w:rsidR="00254511">
        <w:rPr>
          <w:bCs/>
        </w:rPr>
        <w:t xml:space="preserve"> consideraciones</w:t>
      </w:r>
      <w:r w:rsidR="001D69C1">
        <w:rPr>
          <w:bCs/>
        </w:rPr>
        <w:t xml:space="preserve"> del precedente</w:t>
      </w:r>
      <w:r w:rsidR="00B57DE2">
        <w:rPr>
          <w:bCs/>
        </w:rPr>
        <w:t xml:space="preserve"> también</w:t>
      </w:r>
      <w:r w:rsidR="00254511">
        <w:rPr>
          <w:bCs/>
        </w:rPr>
        <w:t xml:space="preserve"> deben regir el presente caso.</w:t>
      </w:r>
      <w:r w:rsidR="00D92F60" w:rsidRPr="00615111">
        <w:rPr>
          <w:bCs/>
        </w:rPr>
        <w:t xml:space="preserve"> </w:t>
      </w:r>
      <w:r w:rsidR="00AF3B24">
        <w:rPr>
          <w:bCs/>
        </w:rPr>
        <w:t>Como se explica enseguida,</w:t>
      </w:r>
      <w:r w:rsidR="008E0123">
        <w:rPr>
          <w:bCs/>
        </w:rPr>
        <w:t xml:space="preserve"> de una interpretación integral del artículo 114 de la Constitución de Oaxaca se desprende que</w:t>
      </w:r>
      <w:r w:rsidR="00D92F60" w:rsidRPr="00615111">
        <w:rPr>
          <w:bCs/>
        </w:rPr>
        <w:t xml:space="preserve"> </w:t>
      </w:r>
      <w:r w:rsidR="00941305">
        <w:rPr>
          <w:bCs/>
        </w:rPr>
        <w:t>el</w:t>
      </w:r>
      <w:r w:rsidR="00D92F60" w:rsidRPr="00615111">
        <w:rPr>
          <w:bCs/>
        </w:rPr>
        <w:t xml:space="preserve"> Instituto Estatal Electoral </w:t>
      </w:r>
      <w:r w:rsidR="00941305">
        <w:rPr>
          <w:bCs/>
        </w:rPr>
        <w:t>y el</w:t>
      </w:r>
      <w:r w:rsidR="00D92F60" w:rsidRPr="00615111">
        <w:rPr>
          <w:bCs/>
        </w:rPr>
        <w:t xml:space="preserve"> Tribunal Electoral de </w:t>
      </w:r>
      <w:r w:rsidR="00941305">
        <w:rPr>
          <w:bCs/>
        </w:rPr>
        <w:t xml:space="preserve">Oaxaca </w:t>
      </w:r>
      <w:r w:rsidR="00C24326">
        <w:rPr>
          <w:bCs/>
        </w:rPr>
        <w:t>no son</w:t>
      </w:r>
      <w:r w:rsidR="00941305">
        <w:rPr>
          <w:bCs/>
        </w:rPr>
        <w:t xml:space="preserve"> destinatarios de la obligación</w:t>
      </w:r>
      <w:r w:rsidR="008E0123">
        <w:rPr>
          <w:bCs/>
        </w:rPr>
        <w:t xml:space="preserve"> de rendir un informe ante el pleno del Congreso local</w:t>
      </w:r>
      <w:r w:rsidR="00D92F60" w:rsidRPr="00615111">
        <w:rPr>
          <w:bCs/>
        </w:rPr>
        <w:t>.</w:t>
      </w:r>
    </w:p>
    <w:p w14:paraId="71D04F0C" w14:textId="1B97391E" w:rsidR="004D47D8" w:rsidRPr="004D47D8" w:rsidRDefault="000C6151" w:rsidP="00A355C5">
      <w:pPr>
        <w:pStyle w:val="Prrafo"/>
        <w:numPr>
          <w:ilvl w:val="0"/>
          <w:numId w:val="6"/>
        </w:numPr>
        <w:ind w:left="0" w:hanging="567"/>
      </w:pPr>
      <w:r>
        <w:t>Por una parte</w:t>
      </w:r>
      <w:r w:rsidR="004D47D8">
        <w:t xml:space="preserve">, </w:t>
      </w:r>
      <w:r w:rsidR="00395AA0">
        <w:t xml:space="preserve">en relación con </w:t>
      </w:r>
      <w:r w:rsidR="004D47D8" w:rsidRPr="00B41430">
        <w:t xml:space="preserve">el Tribunal Electoral </w:t>
      </w:r>
      <w:r w:rsidR="00CB0377">
        <w:t>del Estado de Oaxaca</w:t>
      </w:r>
      <w:r w:rsidR="004D47D8" w:rsidRPr="00B41430">
        <w:t>,</w:t>
      </w:r>
      <w:r w:rsidR="00FE1486" w:rsidRPr="00FE1486">
        <w:t xml:space="preserve"> </w:t>
      </w:r>
      <w:r w:rsidR="00CA0C5A">
        <w:t>el</w:t>
      </w:r>
      <w:r w:rsidR="0032404F">
        <w:t xml:space="preserve"> </w:t>
      </w:r>
      <w:r w:rsidR="00CA0C5A">
        <w:t>Tribunal</w:t>
      </w:r>
      <w:r w:rsidR="0032404F">
        <w:t xml:space="preserve"> </w:t>
      </w:r>
      <w:r w:rsidR="00CA0C5A">
        <w:t>Pleno</w:t>
      </w:r>
      <w:r w:rsidR="00A50AF4">
        <w:t xml:space="preserve"> </w:t>
      </w:r>
      <w:r w:rsidR="00395AA0">
        <w:t>explicó</w:t>
      </w:r>
      <w:r w:rsidR="00063600">
        <w:t xml:space="preserve"> en esa ocasión</w:t>
      </w:r>
      <w:r w:rsidR="00395AA0">
        <w:t xml:space="preserve"> que, en tanto</w:t>
      </w:r>
      <w:r w:rsidR="004D47D8" w:rsidRPr="00B41430">
        <w:t xml:space="preserve"> autoridad jurisdiccional electoral,</w:t>
      </w:r>
      <w:r w:rsidR="0032404F">
        <w:t xml:space="preserve"> aquél</w:t>
      </w:r>
      <w:r w:rsidR="004D47D8" w:rsidRPr="00B41430">
        <w:t xml:space="preserve"> </w:t>
      </w:r>
      <w:r w:rsidR="00965022">
        <w:t xml:space="preserve">ciertamente </w:t>
      </w:r>
      <w:r w:rsidR="004D47D8" w:rsidRPr="00B41430">
        <w:t>goz</w:t>
      </w:r>
      <w:r w:rsidR="003D1B0A">
        <w:t>a</w:t>
      </w:r>
      <w:r w:rsidR="004D47D8" w:rsidRPr="00B41430">
        <w:t xml:space="preserve"> de autonomía e independencia</w:t>
      </w:r>
      <w:r w:rsidR="006A0137" w:rsidRPr="006A0137">
        <w:t xml:space="preserve"> </w:t>
      </w:r>
      <w:r w:rsidR="006A0137">
        <w:t xml:space="preserve">en términos del </w:t>
      </w:r>
      <w:r w:rsidR="006A0137" w:rsidRPr="006A0137">
        <w:t>artículo 116, fracción IV, inciso c),</w:t>
      </w:r>
      <w:r w:rsidR="006A0137">
        <w:t xml:space="preserve"> de la Constitución Federal</w:t>
      </w:r>
      <w:r w:rsidR="00426516">
        <w:rPr>
          <w:rStyle w:val="Refdenotaalpie"/>
        </w:rPr>
        <w:footnoteReference w:id="33"/>
      </w:r>
      <w:r w:rsidR="00395AA0">
        <w:t>. Sin embargo,</w:t>
      </w:r>
      <w:r w:rsidR="004D47D8" w:rsidRPr="00B41430">
        <w:t xml:space="preserve"> no detenta el resto de las características propias de un órgano constitucional autónomo. </w:t>
      </w:r>
      <w:r w:rsidR="000412C7">
        <w:t xml:space="preserve">Según dispone </w:t>
      </w:r>
      <w:r w:rsidR="00AC6FA9">
        <w:t>el artículo 114 Bis de la Constitución de Oaxaca, s</w:t>
      </w:r>
      <w:r w:rsidR="004D47D8" w:rsidRPr="00B41430">
        <w:t>e trata de un</w:t>
      </w:r>
      <w:r w:rsidR="00CB0377">
        <w:t>a</w:t>
      </w:r>
      <w:r w:rsidR="004D47D8" w:rsidRPr="00B41430">
        <w:t xml:space="preserve"> </w:t>
      </w:r>
      <w:r w:rsidR="00CB0377">
        <w:t>autoridad</w:t>
      </w:r>
      <w:r w:rsidR="004D47D8" w:rsidRPr="00B41430">
        <w:t xml:space="preserve"> que orgánicamente no se enc</w:t>
      </w:r>
      <w:r w:rsidR="003D1B0A">
        <w:t>uentra</w:t>
      </w:r>
      <w:r w:rsidR="004D47D8" w:rsidRPr="00B41430">
        <w:t xml:space="preserve"> dentro del Poder Judicial del Estado, pero que ejerc</w:t>
      </w:r>
      <w:r w:rsidR="001518A3">
        <w:t>e</w:t>
      </w:r>
      <w:r w:rsidR="004D47D8" w:rsidRPr="00B41430">
        <w:t xml:space="preserve"> funciones jurisdiccionales en materia electoral</w:t>
      </w:r>
      <w:r w:rsidR="00395AA0">
        <w:t xml:space="preserve"> y</w:t>
      </w:r>
      <w:r w:rsidR="004D47D8" w:rsidRPr="00B41430">
        <w:t xml:space="preserve"> </w:t>
      </w:r>
      <w:r w:rsidR="00395AA0">
        <w:t>representa</w:t>
      </w:r>
      <w:r w:rsidR="004D47D8" w:rsidRPr="00B41430">
        <w:t xml:space="preserve"> la máxima autoridad en </w:t>
      </w:r>
      <w:r w:rsidR="00480CCA">
        <w:t>es</w:t>
      </w:r>
      <w:r w:rsidR="004D47D8" w:rsidRPr="00B41430">
        <w:t xml:space="preserve">a materia en </w:t>
      </w:r>
      <w:r w:rsidR="002D1362">
        <w:t>la entidad federativa</w:t>
      </w:r>
      <w:r w:rsidR="004D47D8" w:rsidRPr="00B41430">
        <w:t>.</w:t>
      </w:r>
      <w:r w:rsidR="004D47D8">
        <w:t xml:space="preserve"> Por consiguiente,</w:t>
      </w:r>
      <w:r w:rsidR="007349B1">
        <w:t xml:space="preserve"> en términos del precedente referido,</w:t>
      </w:r>
      <w:r w:rsidR="004D47D8">
        <w:t xml:space="preserve"> no p</w:t>
      </w:r>
      <w:r w:rsidR="00E90234">
        <w:t>uede</w:t>
      </w:r>
      <w:r w:rsidR="004D47D8">
        <w:t xml:space="preserve"> sostenerse que </w:t>
      </w:r>
      <w:r w:rsidR="007349B1">
        <w:t xml:space="preserve">el Tribunal Electoral de Oaxaca </w:t>
      </w:r>
      <w:r w:rsidR="00E90234">
        <w:t>se</w:t>
      </w:r>
      <w:r w:rsidR="004D47D8">
        <w:t>a destinatario de la obligación</w:t>
      </w:r>
      <w:r w:rsidR="00395AA0">
        <w:t xml:space="preserve"> de rendir un informe ante el Congreso local</w:t>
      </w:r>
      <w:r w:rsidR="007766D5">
        <w:rPr>
          <w:rStyle w:val="Refdenotaalpie"/>
        </w:rPr>
        <w:footnoteReference w:id="34"/>
      </w:r>
      <w:r w:rsidR="004D47D8">
        <w:t>.</w:t>
      </w:r>
    </w:p>
    <w:p w14:paraId="4B985193" w14:textId="531D8CA4" w:rsidR="00D95689" w:rsidRDefault="00276532" w:rsidP="00D75EDF">
      <w:pPr>
        <w:pStyle w:val="Prrafo"/>
        <w:numPr>
          <w:ilvl w:val="0"/>
          <w:numId w:val="6"/>
        </w:numPr>
        <w:ind w:left="0" w:hanging="567"/>
      </w:pPr>
      <w:r>
        <w:rPr>
          <w:bCs/>
        </w:rPr>
        <w:t>Por otra parte</w:t>
      </w:r>
      <w:r w:rsidR="00A355C5">
        <w:rPr>
          <w:bCs/>
        </w:rPr>
        <w:t>,</w:t>
      </w:r>
      <w:r w:rsidR="00075048">
        <w:rPr>
          <w:bCs/>
        </w:rPr>
        <w:t xml:space="preserve"> en relación con el </w:t>
      </w:r>
      <w:r w:rsidR="00075048" w:rsidRPr="00B41430">
        <w:t>Instituto Estatal Electoral</w:t>
      </w:r>
      <w:r w:rsidR="00075048">
        <w:t xml:space="preserve"> y de Participación Ciudadana de Oaxaca, </w:t>
      </w:r>
      <w:r w:rsidR="009D1E17">
        <w:t>la</w:t>
      </w:r>
      <w:r w:rsidR="00075048">
        <w:t xml:space="preserve"> </w:t>
      </w:r>
      <w:r w:rsidR="009D1E17">
        <w:t>Suprema</w:t>
      </w:r>
      <w:r w:rsidR="00075048">
        <w:t xml:space="preserve"> </w:t>
      </w:r>
      <w:r w:rsidR="009D1E17">
        <w:t>Corte</w:t>
      </w:r>
      <w:r w:rsidR="00075048">
        <w:rPr>
          <w:bCs/>
        </w:rPr>
        <w:t xml:space="preserve"> </w:t>
      </w:r>
      <w:r w:rsidR="008F467F">
        <w:rPr>
          <w:bCs/>
        </w:rPr>
        <w:t>precis</w:t>
      </w:r>
      <w:r w:rsidR="00075048">
        <w:rPr>
          <w:bCs/>
        </w:rPr>
        <w:t>ó que</w:t>
      </w:r>
      <w:r w:rsidR="00A45AD2">
        <w:rPr>
          <w:bCs/>
        </w:rPr>
        <w:t xml:space="preserve"> aquél</w:t>
      </w:r>
      <w:r w:rsidR="00075048">
        <w:rPr>
          <w:bCs/>
        </w:rPr>
        <w:t xml:space="preserve"> s</w:t>
      </w:r>
      <w:r w:rsidR="005D1D4D">
        <w:rPr>
          <w:bCs/>
        </w:rPr>
        <w:t>í</w:t>
      </w:r>
      <w:r w:rsidR="00075048">
        <w:rPr>
          <w:bCs/>
        </w:rPr>
        <w:t xml:space="preserve"> rev</w:t>
      </w:r>
      <w:r w:rsidR="00546308">
        <w:rPr>
          <w:bCs/>
        </w:rPr>
        <w:t>iste</w:t>
      </w:r>
      <w:r w:rsidR="00075048">
        <w:rPr>
          <w:bCs/>
        </w:rPr>
        <w:t xml:space="preserve"> las características de un órgano constitucional autónomo</w:t>
      </w:r>
      <w:r w:rsidR="00F9072A">
        <w:rPr>
          <w:rStyle w:val="Refdenotaalpie"/>
        </w:rPr>
        <w:footnoteReference w:id="35"/>
      </w:r>
      <w:r w:rsidR="00D75EDF">
        <w:rPr>
          <w:bCs/>
        </w:rPr>
        <w:t>.</w:t>
      </w:r>
      <w:r w:rsidR="00C605AD">
        <w:rPr>
          <w:bCs/>
        </w:rPr>
        <w:t xml:space="preserve"> </w:t>
      </w:r>
      <w:r w:rsidR="00C6619D">
        <w:t>E</w:t>
      </w:r>
      <w:r w:rsidR="00C6619D">
        <w:rPr>
          <w:bCs/>
        </w:rPr>
        <w:t>xplicó que, s</w:t>
      </w:r>
      <w:r w:rsidR="00236E88" w:rsidRPr="00B41430">
        <w:t>i bien en el ámbito federal no exist</w:t>
      </w:r>
      <w:r w:rsidR="00546308">
        <w:t>e</w:t>
      </w:r>
      <w:r w:rsidR="00236E88" w:rsidRPr="00B41430">
        <w:t xml:space="preserve"> una definición concreta de las características de los órganos constitucionales autónomos, </w:t>
      </w:r>
      <w:r w:rsidR="004078BD">
        <w:t>su</w:t>
      </w:r>
      <w:r w:rsidR="00C26749">
        <w:t xml:space="preserve"> </w:t>
      </w:r>
      <w:r w:rsidR="00C26749" w:rsidRPr="00B41430">
        <w:t>criterio reiterado</w:t>
      </w:r>
      <w:r w:rsidR="00C6619D">
        <w:t xml:space="preserve"> </w:t>
      </w:r>
      <w:r w:rsidR="000C17C9">
        <w:t>había sido</w:t>
      </w:r>
      <w:r w:rsidR="00C6619D">
        <w:t xml:space="preserve"> que</w:t>
      </w:r>
      <w:r w:rsidR="00C26749">
        <w:t xml:space="preserve"> </w:t>
      </w:r>
      <w:r w:rsidR="004078BD">
        <w:t>en esa categoría entran</w:t>
      </w:r>
      <w:r w:rsidR="00F616EF" w:rsidRPr="00F616EF">
        <w:t xml:space="preserve"> </w:t>
      </w:r>
      <w:r w:rsidR="00F616EF">
        <w:t>aquellos</w:t>
      </w:r>
      <w:r w:rsidR="00236E88" w:rsidRPr="00B41430">
        <w:t xml:space="preserve"> órganos que c</w:t>
      </w:r>
      <w:r w:rsidR="00B218A8">
        <w:t>uenta</w:t>
      </w:r>
      <w:r w:rsidR="00236E88" w:rsidRPr="00B41430">
        <w:t>n con autonomía e independencia funcional y financiera, at</w:t>
      </w:r>
      <w:r w:rsidR="00B218A8">
        <w:t>i</w:t>
      </w:r>
      <w:r w:rsidR="00236E88" w:rsidRPr="00B41430">
        <w:t>end</w:t>
      </w:r>
      <w:r w:rsidR="00B218A8">
        <w:t>e</w:t>
      </w:r>
      <w:r w:rsidR="00236E88" w:rsidRPr="00B41430">
        <w:t>n funciones primarias u originarias del Estado y se enc</w:t>
      </w:r>
      <w:r w:rsidR="00B218A8">
        <w:t>uentr</w:t>
      </w:r>
      <w:r w:rsidR="00236E88" w:rsidRPr="00B41430">
        <w:t>an establecidos de manera autónoma del resto de los poderes en el texto constituciona</w:t>
      </w:r>
      <w:r w:rsidR="00B67383">
        <w:t>l</w:t>
      </w:r>
      <w:r w:rsidR="00B67383" w:rsidRPr="0003371F">
        <w:rPr>
          <w:rStyle w:val="Refdenotaalpie"/>
          <w:lang w:val="es-ES_tradnl"/>
        </w:rPr>
        <w:footnoteReference w:id="36"/>
      </w:r>
      <w:r w:rsidR="00236E88" w:rsidRPr="00B41430">
        <w:t>.</w:t>
      </w:r>
      <w:r w:rsidR="00A355C5">
        <w:t xml:space="preserve"> </w:t>
      </w:r>
    </w:p>
    <w:p w14:paraId="10D4D147" w14:textId="1B02AEF0" w:rsidR="00A355C5" w:rsidRDefault="00F01639" w:rsidP="00D75EDF">
      <w:pPr>
        <w:pStyle w:val="Prrafo"/>
        <w:numPr>
          <w:ilvl w:val="0"/>
          <w:numId w:val="6"/>
        </w:numPr>
        <w:ind w:left="0" w:hanging="567"/>
      </w:pPr>
      <w:r>
        <w:t>De este modo,</w:t>
      </w:r>
      <w:r w:rsidR="00FF0F43">
        <w:t xml:space="preserve"> </w:t>
      </w:r>
      <w:r w:rsidR="00005460">
        <w:t xml:space="preserve">a </w:t>
      </w:r>
      <w:r w:rsidR="00FF0F43">
        <w:t>pesar de</w:t>
      </w:r>
      <w:r w:rsidR="000412C7">
        <w:t xml:space="preserve"> que</w:t>
      </w:r>
      <w:r w:rsidR="00236E88" w:rsidRPr="00B41430">
        <w:t xml:space="preserve"> la Constitución Federal no </w:t>
      </w:r>
      <w:r w:rsidR="00987802">
        <w:t>clasifi</w:t>
      </w:r>
      <w:r w:rsidR="00FF0F43">
        <w:t>que</w:t>
      </w:r>
      <w:r w:rsidR="00C3553F">
        <w:t xml:space="preserve"> de</w:t>
      </w:r>
      <w:r w:rsidR="00236E88" w:rsidRPr="00B41430">
        <w:t xml:space="preserve"> forma expresa a los </w:t>
      </w:r>
      <w:r w:rsidR="007766D5">
        <w:t>institutos</w:t>
      </w:r>
      <w:r w:rsidR="00236E88" w:rsidRPr="00B41430">
        <w:t xml:space="preserve"> electorales locales como órganos constitucionales autónomos, todas </w:t>
      </w:r>
      <w:r w:rsidR="003D3F4D">
        <w:t>la</w:t>
      </w:r>
      <w:r w:rsidR="00236E88" w:rsidRPr="00B41430">
        <w:t xml:space="preserve">s características establecidas </w:t>
      </w:r>
      <w:r w:rsidR="00A13B97">
        <w:t xml:space="preserve">en </w:t>
      </w:r>
      <w:r w:rsidR="00E80284">
        <w:t>los</w:t>
      </w:r>
      <w:r w:rsidR="00A13B97">
        <w:t xml:space="preserve"> artículo</w:t>
      </w:r>
      <w:r w:rsidR="00E80284">
        <w:t>s</w:t>
      </w:r>
      <w:r w:rsidR="00A13B97">
        <w:t xml:space="preserve"> </w:t>
      </w:r>
      <w:r w:rsidR="008F632E">
        <w:t>41, fracción V, apartados C y D</w:t>
      </w:r>
      <w:r w:rsidR="008F632E" w:rsidRPr="0003371F">
        <w:rPr>
          <w:rStyle w:val="Refdenotaalpie"/>
          <w:lang w:val="es-ES_tradnl"/>
        </w:rPr>
        <w:footnoteReference w:id="37"/>
      </w:r>
      <w:r w:rsidR="008F632E">
        <w:t>,</w:t>
      </w:r>
      <w:r w:rsidR="00A13B97">
        <w:t xml:space="preserve"> </w:t>
      </w:r>
      <w:r w:rsidR="00E80284">
        <w:t xml:space="preserve">y </w:t>
      </w:r>
      <w:r w:rsidR="00A13B97">
        <w:t>116</w:t>
      </w:r>
      <w:r w:rsidR="008F632E" w:rsidRPr="008F632E">
        <w:t xml:space="preserve"> </w:t>
      </w:r>
      <w:r w:rsidR="008F632E" w:rsidRPr="006A0137">
        <w:t>fracción IV, inciso c)</w:t>
      </w:r>
      <w:r w:rsidR="008F632E">
        <w:rPr>
          <w:rStyle w:val="Refdenotaalpie"/>
        </w:rPr>
        <w:footnoteReference w:id="38"/>
      </w:r>
      <w:r w:rsidR="008F632E" w:rsidRPr="006A0137">
        <w:t>,</w:t>
      </w:r>
      <w:r w:rsidR="008F632E">
        <w:t xml:space="preserve"> de la Constitución Federal</w:t>
      </w:r>
      <w:r w:rsidR="00236E88" w:rsidRPr="00B41430">
        <w:t xml:space="preserve"> permit</w:t>
      </w:r>
      <w:r w:rsidR="00546308">
        <w:t>e</w:t>
      </w:r>
      <w:r w:rsidR="00236E88" w:rsidRPr="00B41430">
        <w:t xml:space="preserve">n concluir que </w:t>
      </w:r>
      <w:r w:rsidR="003D3F4D">
        <w:t xml:space="preserve">aquéllos </w:t>
      </w:r>
      <w:r w:rsidR="00475BF3">
        <w:t xml:space="preserve">entran en </w:t>
      </w:r>
      <w:r w:rsidR="003E1620">
        <w:t>tal</w:t>
      </w:r>
      <w:r w:rsidR="00475BF3">
        <w:t xml:space="preserve"> categoría</w:t>
      </w:r>
      <w:r w:rsidR="00236E88" w:rsidRPr="00B41430">
        <w:t xml:space="preserve">, pues no forman parte de </w:t>
      </w:r>
      <w:r w:rsidR="00475BF3">
        <w:t>alguno</w:t>
      </w:r>
      <w:r w:rsidR="00236E88" w:rsidRPr="00B41430">
        <w:t xml:space="preserve"> de los poderes Ejecutivo, Legislativo o Judicial</w:t>
      </w:r>
      <w:r w:rsidR="000146D4">
        <w:t>,</w:t>
      </w:r>
      <w:r w:rsidR="00C67931">
        <w:t xml:space="preserve"> atienden funciones primarias del Estado</w:t>
      </w:r>
      <w:r w:rsidR="00236E88" w:rsidRPr="00B41430">
        <w:t xml:space="preserve"> y gozan de personalidad jurídica propia,</w:t>
      </w:r>
      <w:r w:rsidR="0024679C">
        <w:t xml:space="preserve"> </w:t>
      </w:r>
      <w:r w:rsidR="00236E88" w:rsidRPr="00B41430">
        <w:t>autonomía e independencia en su funcionamiento y gestión</w:t>
      </w:r>
      <w:r w:rsidR="0005381D">
        <w:t>, así</w:t>
      </w:r>
      <w:r w:rsidR="00236E88" w:rsidRPr="00B41430">
        <w:t xml:space="preserve"> </w:t>
      </w:r>
      <w:r w:rsidR="000146D4">
        <w:t>como</w:t>
      </w:r>
      <w:r w:rsidR="00236E88" w:rsidRPr="00B41430">
        <w:t xml:space="preserve"> en materia presupuestaria</w:t>
      </w:r>
      <w:r w:rsidR="006E1802">
        <w:rPr>
          <w:rStyle w:val="Refdenotaalpie"/>
        </w:rPr>
        <w:footnoteReference w:id="39"/>
      </w:r>
      <w:r w:rsidR="00236E88" w:rsidRPr="00B41430">
        <w:t>.</w:t>
      </w:r>
    </w:p>
    <w:p w14:paraId="39987CD0" w14:textId="20E5E505" w:rsidR="00324BC4" w:rsidRDefault="00C90996" w:rsidP="00A05D98">
      <w:pPr>
        <w:pStyle w:val="Prrafo"/>
        <w:numPr>
          <w:ilvl w:val="0"/>
          <w:numId w:val="6"/>
        </w:numPr>
        <w:ind w:left="0" w:hanging="567"/>
      </w:pPr>
      <w:r>
        <w:t>No obstante</w:t>
      </w:r>
      <w:r w:rsidR="007766D5">
        <w:t>,</w:t>
      </w:r>
      <w:r w:rsidR="00A05D98">
        <w:t xml:space="preserve"> </w:t>
      </w:r>
      <w:r w:rsidR="00B92890">
        <w:t xml:space="preserve">el Tribunal Pleno precisó que </w:t>
      </w:r>
      <w:r w:rsidR="00F81289">
        <w:t>esto no significaba que</w:t>
      </w:r>
      <w:r w:rsidR="00005460">
        <w:t xml:space="preserve"> dicho órgano</w:t>
      </w:r>
      <w:r w:rsidR="00F81289">
        <w:t xml:space="preserve"> fuera destinatario de la obligación </w:t>
      </w:r>
      <w:r w:rsidR="009529E5">
        <w:t>de rendir un informe ante el Congreso del Estado</w:t>
      </w:r>
      <w:r w:rsidR="00F81289">
        <w:t xml:space="preserve">. </w:t>
      </w:r>
      <w:r w:rsidR="00B92890">
        <w:t>A</w:t>
      </w:r>
      <w:r w:rsidR="00005460">
        <w:t>demás de que</w:t>
      </w:r>
      <w:r w:rsidR="002173CF">
        <w:t xml:space="preserve"> esa autoridad electoral</w:t>
      </w:r>
      <w:r w:rsidR="00005460">
        <w:t xml:space="preserve"> no se encontraba previst</w:t>
      </w:r>
      <w:r w:rsidR="002173CF">
        <w:t>a</w:t>
      </w:r>
      <w:r w:rsidR="00005460">
        <w:t xml:space="preserve"> expresamente en el resto del precepto impugnado, ni tampoco en el </w:t>
      </w:r>
      <w:r w:rsidR="00005460" w:rsidRPr="00B41430">
        <w:t>artículo 59, fracción LI</w:t>
      </w:r>
      <w:r w:rsidR="00005460">
        <w:t>, de la Constitución de Oaxaca</w:t>
      </w:r>
      <w:r w:rsidR="00005460">
        <w:rPr>
          <w:rStyle w:val="Refdenotaalpie"/>
        </w:rPr>
        <w:footnoteReference w:id="40"/>
      </w:r>
      <w:r w:rsidR="00005460">
        <w:t>, que</w:t>
      </w:r>
      <w:r w:rsidR="00B92890">
        <w:t xml:space="preserve"> e</w:t>
      </w:r>
      <w:r w:rsidR="00205F98">
        <w:t>s</w:t>
      </w:r>
      <w:r w:rsidR="00B92890">
        <w:t xml:space="preserve"> el que</w:t>
      </w:r>
      <w:r w:rsidR="00CA4009">
        <w:t xml:space="preserve"> faculta al Congreso </w:t>
      </w:r>
      <w:r w:rsidR="00205F98">
        <w:t>del Estado</w:t>
      </w:r>
      <w:r w:rsidR="00CA4009">
        <w:t xml:space="preserve"> a requerir informes</w:t>
      </w:r>
      <w:r w:rsidR="002173CF">
        <w:t xml:space="preserve"> a diversas dependencias u órganos</w:t>
      </w:r>
      <w:r w:rsidR="00205F98">
        <w:t xml:space="preserve"> locales</w:t>
      </w:r>
      <w:r w:rsidR="00CA4009">
        <w:t>,</w:t>
      </w:r>
      <w:r w:rsidR="00A05D98" w:rsidRPr="00B41430">
        <w:t xml:space="preserve"> las</w:t>
      </w:r>
      <w:r w:rsidR="002173CF">
        <w:t xml:space="preserve"> </w:t>
      </w:r>
      <w:r w:rsidR="00A05D98" w:rsidRPr="00B41430">
        <w:t xml:space="preserve">características del Instituto </w:t>
      </w:r>
      <w:r w:rsidR="00132569">
        <w:t xml:space="preserve">Estatal </w:t>
      </w:r>
      <w:r w:rsidR="00A05D98" w:rsidRPr="00B41430">
        <w:t>Electoral</w:t>
      </w:r>
      <w:r w:rsidR="00B3170B">
        <w:t xml:space="preserve"> y de Participación Ciudadana</w:t>
      </w:r>
      <w:r w:rsidR="00A05D98" w:rsidRPr="00B41430">
        <w:t xml:space="preserve"> </w:t>
      </w:r>
      <w:r w:rsidR="00D6026E">
        <w:t>de Oaxaca</w:t>
      </w:r>
      <w:r w:rsidR="00A05D98" w:rsidRPr="00B41430">
        <w:t xml:space="preserve"> no </w:t>
      </w:r>
      <w:r w:rsidR="00324BC4">
        <w:t>permitían</w:t>
      </w:r>
      <w:r w:rsidR="00A05D98" w:rsidRPr="00B41430">
        <w:t xml:space="preserve"> </w:t>
      </w:r>
      <w:r w:rsidR="00C3553F">
        <w:t>equipara</w:t>
      </w:r>
      <w:r w:rsidR="00324BC4">
        <w:t>rlo</w:t>
      </w:r>
      <w:r w:rsidR="00A05D98" w:rsidRPr="00B41430">
        <w:t xml:space="preserve"> a los </w:t>
      </w:r>
      <w:r w:rsidR="006E7583">
        <w:t xml:space="preserve">demás </w:t>
      </w:r>
      <w:r w:rsidR="00A05D98" w:rsidRPr="00B41430">
        <w:t>órganos constitucionales autónomos de esa entidad federativa</w:t>
      </w:r>
      <w:r w:rsidR="00324BC4">
        <w:t>.</w:t>
      </w:r>
      <w:r w:rsidR="00C3553F">
        <w:t xml:space="preserve"> </w:t>
      </w:r>
      <w:r w:rsidR="00E52A9F">
        <w:t>Concretamente</w:t>
      </w:r>
      <w:r w:rsidR="00C3553F">
        <w:t>,</w:t>
      </w:r>
      <w:r w:rsidR="00324BC4">
        <w:t xml:space="preserve"> la autoridad electoral local no podía igualarse</w:t>
      </w:r>
      <w:r w:rsidR="00C3553F">
        <w:t xml:space="preserve"> </w:t>
      </w:r>
      <w:r w:rsidR="00324BC4">
        <w:t>con</w:t>
      </w:r>
      <w:r w:rsidR="00C3553F" w:rsidRPr="00B41430">
        <w:t xml:space="preserve"> la Defensoría de los Derechos Humanos del Pueblo de Oaxaca, </w:t>
      </w:r>
      <w:r w:rsidR="00324BC4">
        <w:t>con e</w:t>
      </w:r>
      <w:r w:rsidR="00C3553F" w:rsidRPr="00B41430">
        <w:t>l Órgano Garante de Acceso a la Información Pública, Transparencia, Protección de Datos Personales y Buen Gobierno del Estado de Oaxaca</w:t>
      </w:r>
      <w:r w:rsidR="005A47E7">
        <w:t>,</w:t>
      </w:r>
      <w:r w:rsidR="00C3553F" w:rsidRPr="00B41430">
        <w:t xml:space="preserve"> </w:t>
      </w:r>
      <w:r w:rsidR="005A47E7">
        <w:t>ni tampoco</w:t>
      </w:r>
      <w:r w:rsidR="00C3553F" w:rsidRPr="00B41430">
        <w:t xml:space="preserve"> </w:t>
      </w:r>
      <w:r w:rsidR="00324BC4">
        <w:t>con</w:t>
      </w:r>
      <w:r w:rsidR="00C3553F" w:rsidRPr="00B41430">
        <w:t xml:space="preserve"> la Fiscalía General del Estado de Oaxaca</w:t>
      </w:r>
      <w:r w:rsidR="00D95689">
        <w:t>, que son los</w:t>
      </w:r>
      <w:r w:rsidR="00324BC4">
        <w:t xml:space="preserve"> órganos</w:t>
      </w:r>
      <w:r w:rsidR="00D95689">
        <w:t xml:space="preserve"> previstos </w:t>
      </w:r>
      <w:r w:rsidR="00E52A9F">
        <w:t xml:space="preserve">de manera </w:t>
      </w:r>
      <w:r w:rsidR="00D95689">
        <w:t>expresa en el artículo 114 de la Constitución de Oaxaca</w:t>
      </w:r>
      <w:r w:rsidR="005178BC">
        <w:rPr>
          <w:rStyle w:val="Refdenotaalpie"/>
        </w:rPr>
        <w:footnoteReference w:id="41"/>
      </w:r>
      <w:r w:rsidR="00C3553F" w:rsidRPr="00B41430">
        <w:t>.</w:t>
      </w:r>
      <w:r w:rsidR="00C3553F">
        <w:t xml:space="preserve"> </w:t>
      </w:r>
    </w:p>
    <w:p w14:paraId="4B78EFD4" w14:textId="5D6F5748" w:rsidR="00236E88" w:rsidRDefault="00C3553F" w:rsidP="006A7397">
      <w:pPr>
        <w:pStyle w:val="Prrafo"/>
        <w:numPr>
          <w:ilvl w:val="0"/>
          <w:numId w:val="6"/>
        </w:numPr>
        <w:ind w:left="0" w:hanging="567"/>
      </w:pPr>
      <w:r>
        <w:t xml:space="preserve">La razón es </w:t>
      </w:r>
      <w:r w:rsidR="005A47E7">
        <w:t>sencilla.</w:t>
      </w:r>
      <w:r>
        <w:t xml:space="preserve"> </w:t>
      </w:r>
      <w:r w:rsidR="005A47E7">
        <w:t>M</w:t>
      </w:r>
      <w:r w:rsidR="00132569">
        <w:t>ientras</w:t>
      </w:r>
      <w:r w:rsidR="005A47E7">
        <w:t xml:space="preserve"> </w:t>
      </w:r>
      <w:r w:rsidR="00132569">
        <w:t xml:space="preserve">que </w:t>
      </w:r>
      <w:r w:rsidR="005A47E7">
        <w:t xml:space="preserve">el </w:t>
      </w:r>
      <w:r w:rsidR="004B63F4">
        <w:t>Instituto Estatal Electoral</w:t>
      </w:r>
      <w:r w:rsidR="006E7583">
        <w:t xml:space="preserve"> y de Participación Ciudadana de Oaxaca</w:t>
      </w:r>
      <w:r w:rsidR="005A47E7">
        <w:t>, en tanto autoridad</w:t>
      </w:r>
      <w:r w:rsidR="000D1B0E">
        <w:t xml:space="preserve"> administrativa</w:t>
      </w:r>
      <w:r w:rsidR="005A47E7">
        <w:t xml:space="preserve"> electoral,</w:t>
      </w:r>
      <w:r w:rsidR="00132569">
        <w:t xml:space="preserve"> </w:t>
      </w:r>
      <w:r w:rsidR="00AF1431">
        <w:t>goza de regulación específica en la Constitución Federal</w:t>
      </w:r>
      <w:r w:rsidR="006E7583">
        <w:t xml:space="preserve"> desde</w:t>
      </w:r>
      <w:r w:rsidR="00F62312">
        <w:t xml:space="preserve"> febrero de</w:t>
      </w:r>
      <w:r w:rsidR="006E7583">
        <w:t xml:space="preserve"> dos mil catorce</w:t>
      </w:r>
      <w:r w:rsidR="00132569">
        <w:t>,</w:t>
      </w:r>
      <w:r w:rsidR="0055185C">
        <w:t xml:space="preserve"> </w:t>
      </w:r>
      <w:r w:rsidR="00132569">
        <w:t xml:space="preserve">los </w:t>
      </w:r>
      <w:r w:rsidR="004B63F4">
        <w:t>demás</w:t>
      </w:r>
      <w:r w:rsidR="00756508" w:rsidRPr="00756508">
        <w:t xml:space="preserve"> </w:t>
      </w:r>
      <w:r w:rsidR="00756508">
        <w:t>“</w:t>
      </w:r>
      <w:r w:rsidR="00756508" w:rsidRPr="00756508">
        <w:rPr>
          <w:i/>
          <w:iCs/>
        </w:rPr>
        <w:t>sólo encuentran sus ámbitos de regulación y actuación en el régimen interno estatal</w:t>
      </w:r>
      <w:r w:rsidR="00756508">
        <w:t>”</w:t>
      </w:r>
      <w:r w:rsidR="00756508">
        <w:rPr>
          <w:rStyle w:val="Refdenotaalpie"/>
        </w:rPr>
        <w:footnoteReference w:id="42"/>
      </w:r>
      <w:r w:rsidR="00132569">
        <w:t>.</w:t>
      </w:r>
      <w:r w:rsidR="00324BC4">
        <w:t xml:space="preserve"> </w:t>
      </w:r>
      <w:r w:rsidR="009220A7">
        <w:t>Y</w:t>
      </w:r>
      <w:r w:rsidR="004B63F4">
        <w:t xml:space="preserve"> </w:t>
      </w:r>
      <w:r w:rsidR="00193CCD">
        <w:t>toda vez que</w:t>
      </w:r>
      <w:r w:rsidR="004B63F4">
        <w:t xml:space="preserve"> </w:t>
      </w:r>
      <w:r w:rsidR="00F62312">
        <w:t xml:space="preserve">el propósito del </w:t>
      </w:r>
      <w:r w:rsidR="0002581B">
        <w:t>Constituyente</w:t>
      </w:r>
      <w:r w:rsidR="00F62312">
        <w:t xml:space="preserve"> Federal </w:t>
      </w:r>
      <w:r w:rsidR="00444097">
        <w:t>es</w:t>
      </w:r>
      <w:r w:rsidR="00F62312">
        <w:t xml:space="preserve"> claro en el sentido de </w:t>
      </w:r>
      <w:r w:rsidR="00444097">
        <w:t>que lo que se busc</w:t>
      </w:r>
      <w:r w:rsidR="00507ADC">
        <w:t>aba</w:t>
      </w:r>
      <w:r w:rsidR="0002581B">
        <w:t xml:space="preserve"> con dicha reforma</w:t>
      </w:r>
      <w:r w:rsidR="00324BC4">
        <w:t xml:space="preserve"> constitucional</w:t>
      </w:r>
      <w:r w:rsidR="00444097">
        <w:t xml:space="preserve"> </w:t>
      </w:r>
      <w:r w:rsidR="00507ADC">
        <w:t>era</w:t>
      </w:r>
      <w:r w:rsidR="00324BC4">
        <w:t xml:space="preserve"> homologar las garantías</w:t>
      </w:r>
      <w:r w:rsidR="00D04090">
        <w:t xml:space="preserve"> institucionales de las elecciones locales</w:t>
      </w:r>
      <w:r w:rsidR="00324BC4">
        <w:t xml:space="preserve"> para</w:t>
      </w:r>
      <w:r w:rsidR="00444097">
        <w:t xml:space="preserve"> </w:t>
      </w:r>
      <w:r w:rsidR="00F62312">
        <w:t xml:space="preserve">lograr </w:t>
      </w:r>
      <w:r w:rsidR="00F62312" w:rsidRPr="00B41430">
        <w:t>que las autoridades encargadas de organizar los respectivos procesos electorales</w:t>
      </w:r>
      <w:r w:rsidR="00324BC4">
        <w:t xml:space="preserve"> en las entidades federativas</w:t>
      </w:r>
      <w:r w:rsidR="00F62312" w:rsidRPr="00B41430">
        <w:t xml:space="preserve"> tuvieran verdadera autonomía e independencia en relación con el resto de los poderes y órganos de los órdenes jurídicos estatales</w:t>
      </w:r>
      <w:r w:rsidR="0002581B">
        <w:rPr>
          <w:rStyle w:val="Refdenotaalpie"/>
        </w:rPr>
        <w:footnoteReference w:id="43"/>
      </w:r>
      <w:r w:rsidR="00F62312">
        <w:t xml:space="preserve">, </w:t>
      </w:r>
      <w:r w:rsidR="00444097">
        <w:t>las disposiciones</w:t>
      </w:r>
      <w:r w:rsidR="0002581B">
        <w:t xml:space="preserve"> de la Constitución de Oaxaca no deb</w:t>
      </w:r>
      <w:r w:rsidR="00E408E5">
        <w:t>ía</w:t>
      </w:r>
      <w:r w:rsidR="0002581B">
        <w:t>n ser interpretadas en un sentido</w:t>
      </w:r>
      <w:r w:rsidR="00193CCD">
        <w:t xml:space="preserve"> que merm</w:t>
      </w:r>
      <w:r w:rsidR="00E408E5">
        <w:t>ara</w:t>
      </w:r>
      <w:r w:rsidR="00193CCD">
        <w:t xml:space="preserve"> dicho objetivo</w:t>
      </w:r>
      <w:r w:rsidR="00D95689" w:rsidRPr="00E82B99">
        <w:rPr>
          <w:rStyle w:val="Refdenotaalpie"/>
        </w:rPr>
        <w:footnoteReference w:id="44"/>
      </w:r>
      <w:r w:rsidR="009529E5">
        <w:t>, como podría ser sujetar a una institución electoral a rendir informes de labores ante una autoridad estatal</w:t>
      </w:r>
      <w:r w:rsidR="004D37AF">
        <w:rPr>
          <w:rStyle w:val="Refdenotaalpie"/>
        </w:rPr>
        <w:footnoteReference w:id="45"/>
      </w:r>
      <w:r w:rsidR="00193CCD">
        <w:t>.</w:t>
      </w:r>
    </w:p>
    <w:p w14:paraId="4A8DB4A3" w14:textId="205882D0" w:rsidR="00236E88" w:rsidRDefault="0096263F" w:rsidP="005178BC">
      <w:pPr>
        <w:pStyle w:val="Prrafo"/>
        <w:numPr>
          <w:ilvl w:val="0"/>
          <w:numId w:val="6"/>
        </w:numPr>
        <w:ind w:left="0" w:hanging="567"/>
      </w:pPr>
      <w:r>
        <w:t>Toda vez que la</w:t>
      </w:r>
      <w:r w:rsidR="00BD3559">
        <w:t xml:space="preserve"> nueva redacción del precepto no </w:t>
      </w:r>
      <w:r w:rsidR="007B0A50">
        <w:t>modificó</w:t>
      </w:r>
      <w:r w:rsidR="00BD3559">
        <w:t xml:space="preserve"> las referencias hacia los destinatarios de la obligación de rendir un informe ante el Congreso del Estado, sino simplemente estableció modalidades para su cumplimiento (“a través de sus titulares” y “ante el pleno”)</w:t>
      </w:r>
      <w:r>
        <w:t>, e</w:t>
      </w:r>
      <w:r w:rsidR="005D352A">
        <w:t>n términos de</w:t>
      </w:r>
      <w:r w:rsidR="005974BE">
        <w:t>l</w:t>
      </w:r>
      <w:r w:rsidR="005D352A">
        <w:t xml:space="preserve"> </w:t>
      </w:r>
      <w:r w:rsidR="005974BE">
        <w:t>multicitado</w:t>
      </w:r>
      <w:r w:rsidR="005D352A">
        <w:t xml:space="preserve"> precedente</w:t>
      </w:r>
      <w:r w:rsidR="007B0A50">
        <w:t xml:space="preserve"> hoy</w:t>
      </w:r>
      <w:r w:rsidR="00B17A0C">
        <w:t xml:space="preserve"> debe concluirse</w:t>
      </w:r>
      <w:r w:rsidR="00236E88" w:rsidRPr="00B41430">
        <w:t xml:space="preserve"> </w:t>
      </w:r>
      <w:r w:rsidR="00F24B5F">
        <w:t>que</w:t>
      </w:r>
      <w:r w:rsidR="005D352A">
        <w:t>,</w:t>
      </w:r>
      <w:r w:rsidR="00F24B5F">
        <w:t xml:space="preserve"> </w:t>
      </w:r>
      <w:r w:rsidR="00236E88" w:rsidRPr="00B41430">
        <w:t>cuando el artículo 114 de la Constitución de Oaxaca estipula la obligación de los órganos autónomos del Estado de rendir</w:t>
      </w:r>
      <w:r w:rsidR="005D352A">
        <w:t>, a través de sus titulares,</w:t>
      </w:r>
      <w:r w:rsidR="00236E88" w:rsidRPr="00B41430">
        <w:t xml:space="preserve"> el informe anual de labores ante el Pleno del Congreso de Oaxaca</w:t>
      </w:r>
      <w:r w:rsidR="005D352A">
        <w:t>, el precepto</w:t>
      </w:r>
      <w:r w:rsidR="00236E88" w:rsidRPr="00B41430">
        <w:t xml:space="preserve"> se refiere</w:t>
      </w:r>
      <w:r w:rsidR="005D352A">
        <w:t xml:space="preserve"> únicamente</w:t>
      </w:r>
      <w:r w:rsidR="00236E88" w:rsidRPr="00B41430">
        <w:t xml:space="preserve"> a aquéllos que no guardan relación con un régimen especial de facultades y competencias en materia electoral entre la Constitución Federal, las leyes generales y el orden jurídico local, </w:t>
      </w:r>
      <w:r w:rsidR="005D352A">
        <w:t>es decir,</w:t>
      </w:r>
      <w:r w:rsidR="00236E88" w:rsidRPr="00B41430">
        <w:t xml:space="preserve"> </w:t>
      </w:r>
      <w:r w:rsidR="00BD3559">
        <w:t>a</w:t>
      </w:r>
      <w:r w:rsidR="00236E88" w:rsidRPr="00B41430">
        <w:t xml:space="preserve"> </w:t>
      </w:r>
      <w:r w:rsidR="007B0A50">
        <w:t xml:space="preserve">(i) </w:t>
      </w:r>
      <w:r w:rsidR="00BD3559" w:rsidRPr="00B41430">
        <w:t xml:space="preserve">la Defensoría de los Derechos Humanos del Pueblo de Oaxaca, </w:t>
      </w:r>
      <w:r w:rsidR="007B0A50">
        <w:t>(ii) e</w:t>
      </w:r>
      <w:r w:rsidR="00BD3559" w:rsidRPr="00B41430">
        <w:t xml:space="preserve">l Órgano Garante de Acceso a la Información Pública, Transparencia, Protección de Datos Personales y Buen Gobierno del Estado de Oaxaca </w:t>
      </w:r>
      <w:r w:rsidR="00BD3559">
        <w:t xml:space="preserve">y </w:t>
      </w:r>
      <w:r w:rsidR="007B0A50">
        <w:t>(iii)</w:t>
      </w:r>
      <w:r w:rsidR="00BD3559" w:rsidRPr="00B41430">
        <w:t xml:space="preserve"> la Fiscalía General del Estado de Oaxaca</w:t>
      </w:r>
      <w:r w:rsidR="00236E88" w:rsidRPr="00B41430">
        <w:t>.</w:t>
      </w:r>
      <w:r w:rsidR="00921DD7">
        <w:t xml:space="preserve"> En consecuencia, tampoco puede considerarse que el</w:t>
      </w:r>
      <w:r w:rsidR="00921DD7" w:rsidRPr="00921DD7">
        <w:t xml:space="preserve"> </w:t>
      </w:r>
      <w:r w:rsidR="00921DD7">
        <w:t xml:space="preserve">Instituto Estatal Electoral y de Participación Ciudadana de Oaxaca se encuentre obligado a rendir un informe anual ante el pleno del Congreso local. </w:t>
      </w:r>
      <w:r w:rsidR="005178BC">
        <w:t xml:space="preserve"> </w:t>
      </w:r>
    </w:p>
    <w:p w14:paraId="6DE42B4D" w14:textId="688E7473" w:rsidR="00B41430" w:rsidRDefault="00D12156" w:rsidP="00B41430">
      <w:pPr>
        <w:pStyle w:val="Prrafo"/>
        <w:numPr>
          <w:ilvl w:val="0"/>
          <w:numId w:val="6"/>
        </w:numPr>
        <w:ind w:left="0" w:hanging="567"/>
      </w:pPr>
      <w:r>
        <w:t>No es obstáculo para llegar a esta conclusión que</w:t>
      </w:r>
      <w:r w:rsidR="00B41430" w:rsidRPr="00B41430">
        <w:rPr>
          <w:bCs/>
        </w:rPr>
        <w:t xml:space="preserve"> el partido político promovente </w:t>
      </w:r>
      <w:r>
        <w:rPr>
          <w:bCs/>
        </w:rPr>
        <w:t>a</w:t>
      </w:r>
      <w:r w:rsidR="00D27B14">
        <w:rPr>
          <w:bCs/>
        </w:rPr>
        <w:t>duzca</w:t>
      </w:r>
      <w:r w:rsidR="00B41430" w:rsidRPr="00B41430">
        <w:rPr>
          <w:bCs/>
        </w:rPr>
        <w:t xml:space="preserve"> que la reforma </w:t>
      </w:r>
      <w:r w:rsidR="00B41430" w:rsidRPr="00B41430">
        <w:t>al artículo 114 de la Constitución de Oaxaca incluyó como sujetos normativos al Instituto Electoral y Tribunal Electoral locales</w:t>
      </w:r>
      <w:r>
        <w:t xml:space="preserve"> porque así se dispuso en</w:t>
      </w:r>
      <w:r w:rsidR="00B41430" w:rsidRPr="00B41430">
        <w:t xml:space="preserve"> la </w:t>
      </w:r>
      <w:r w:rsidR="00B41430" w:rsidRPr="00B41430">
        <w:rPr>
          <w:i/>
          <w:iCs/>
        </w:rPr>
        <w:t>exposición de motivos</w:t>
      </w:r>
      <w:r w:rsidR="00B41430" w:rsidRPr="00B41430">
        <w:t xml:space="preserve"> del decreto impugnado. Es criterio reiterado de este Tribunal Pleno que las exposiciones de motivos no constituyen condición de constitucionalidad</w:t>
      </w:r>
      <w:r w:rsidR="00B41430" w:rsidRPr="00721937">
        <w:rPr>
          <w:rStyle w:val="Refdenotaalpie"/>
        </w:rPr>
        <w:footnoteReference w:id="46"/>
      </w:r>
      <w:r w:rsidR="00985D11">
        <w:t>, por lo que</w:t>
      </w:r>
      <w:r w:rsidR="00B41430" w:rsidRPr="00B41430">
        <w:t xml:space="preserve"> </w:t>
      </w:r>
      <w:r w:rsidR="00985D11">
        <w:t>e</w:t>
      </w:r>
      <w:r w:rsidR="00B41430" w:rsidRPr="00B41430">
        <w:t>sta Suprema Corte no podría</w:t>
      </w:r>
      <w:r w:rsidR="00E73346">
        <w:t xml:space="preserve"> </w:t>
      </w:r>
      <w:r w:rsidR="001B7A13">
        <w:t>basarse en</w:t>
      </w:r>
      <w:r w:rsidR="00E73346">
        <w:t xml:space="preserve"> esa </w:t>
      </w:r>
      <w:r w:rsidR="00130462">
        <w:t>única</w:t>
      </w:r>
      <w:r w:rsidR="00E73346">
        <w:t xml:space="preserve"> razón</w:t>
      </w:r>
      <w:r w:rsidR="001B7A13">
        <w:t xml:space="preserve"> para</w:t>
      </w:r>
      <w:r w:rsidR="00B41430" w:rsidRPr="00B41430">
        <w:t xml:space="preserve"> analizar la exposición de motivos del Decreto impugnado </w:t>
      </w:r>
      <w:r w:rsidR="00985D11">
        <w:t>ni</w:t>
      </w:r>
      <w:r w:rsidR="00B41430" w:rsidRPr="00B41430">
        <w:t xml:space="preserve">, a raíz de su análisis, determinar la </w:t>
      </w:r>
      <w:r w:rsidR="00E73346">
        <w:t>in</w:t>
      </w:r>
      <w:r w:rsidR="00B41430" w:rsidRPr="00B41430">
        <w:t>validez del precepto reformado</w:t>
      </w:r>
      <w:r w:rsidR="00B41430" w:rsidRPr="00721937">
        <w:rPr>
          <w:rStyle w:val="Refdenotaalpie"/>
        </w:rPr>
        <w:footnoteReference w:id="47"/>
      </w:r>
      <w:r w:rsidR="00B41430" w:rsidRPr="00B41430">
        <w:t xml:space="preserve">. Por el contrario, para determinar </w:t>
      </w:r>
      <w:r w:rsidR="001B7A13">
        <w:t>la</w:t>
      </w:r>
      <w:r w:rsidR="00B41430" w:rsidRPr="00B41430">
        <w:t xml:space="preserve"> constitucionalidad</w:t>
      </w:r>
      <w:r w:rsidR="001B7A13">
        <w:t xml:space="preserve"> de una norma</w:t>
      </w:r>
      <w:r w:rsidR="00B41430" w:rsidRPr="00B41430">
        <w:t xml:space="preserve"> debe atenderse</w:t>
      </w:r>
      <w:r w:rsidR="005B48F7">
        <w:t xml:space="preserve"> primero a</w:t>
      </w:r>
      <w:r w:rsidR="00B41430" w:rsidRPr="00B41430">
        <w:t xml:space="preserve"> su parte dispositiva</w:t>
      </w:r>
      <w:r w:rsidR="005B48F7">
        <w:t xml:space="preserve"> y únicamente en caso de duda acudir a esos otros elementos</w:t>
      </w:r>
      <w:r w:rsidR="00B41430" w:rsidRPr="00B41430">
        <w:t>.</w:t>
      </w:r>
    </w:p>
    <w:p w14:paraId="5C9D3D46" w14:textId="61EAAA20" w:rsidR="00B41430" w:rsidRDefault="0015676A" w:rsidP="00236E88">
      <w:pPr>
        <w:pStyle w:val="Prrafo"/>
        <w:numPr>
          <w:ilvl w:val="0"/>
          <w:numId w:val="6"/>
        </w:numPr>
        <w:ind w:left="0" w:hanging="567"/>
      </w:pPr>
      <w:r>
        <w:rPr>
          <w:bCs/>
        </w:rPr>
        <w:t>Además</w:t>
      </w:r>
      <w:r w:rsidR="00B41430" w:rsidRPr="00B41430">
        <w:rPr>
          <w:bCs/>
        </w:rPr>
        <w:t xml:space="preserve">, al margen de que </w:t>
      </w:r>
      <w:r w:rsidR="00B41430" w:rsidRPr="00B41430">
        <w:t>las exposiciones de motivos no proporcionan un parámetro que, por sí mismo, pueda determinar la regularidad de una norma</w:t>
      </w:r>
      <w:r w:rsidR="00B41430" w:rsidRPr="00721937">
        <w:rPr>
          <w:rStyle w:val="Refdenotaalpie"/>
        </w:rPr>
        <w:footnoteReference w:id="48"/>
      </w:r>
      <w:r w:rsidR="00B41430" w:rsidRPr="00B41430">
        <w:t xml:space="preserve">, </w:t>
      </w:r>
      <w:r w:rsidR="007D5F00">
        <w:rPr>
          <w:bCs/>
        </w:rPr>
        <w:t>el Congreso de Oaxaca no podía darle a la norma un propósito que ya había sido descartado por inconstitucional</w:t>
      </w:r>
      <w:r w:rsidR="00EE0B5C">
        <w:rPr>
          <w:bCs/>
        </w:rPr>
        <w:t xml:space="preserve"> por esta Suprema Corte</w:t>
      </w:r>
      <w:r w:rsidR="007D5F00">
        <w:rPr>
          <w:bCs/>
        </w:rPr>
        <w:t xml:space="preserve"> en el precedente referido</w:t>
      </w:r>
      <w:r w:rsidR="00B41430" w:rsidRPr="00B41430">
        <w:rPr>
          <w:bCs/>
        </w:rPr>
        <w:t>.</w:t>
      </w:r>
      <w:r w:rsidR="00EE0B5C">
        <w:rPr>
          <w:bCs/>
        </w:rPr>
        <w:t xml:space="preserve"> Es claro que desde entonces se </w:t>
      </w:r>
      <w:r w:rsidR="008272A2">
        <w:rPr>
          <w:bCs/>
        </w:rPr>
        <w:t>zanjó</w:t>
      </w:r>
      <w:r w:rsidR="00EE0B5C">
        <w:rPr>
          <w:bCs/>
        </w:rPr>
        <w:t xml:space="preserve"> que las autoridades electorales de Oaxaca, tanto la administrativa como la jurisdiccional, no eran ni podían ser destinatarios de la obligación prevista en el artículo 114 de la Constitución de Oaxaca.</w:t>
      </w:r>
      <w:r w:rsidR="008272A2">
        <w:rPr>
          <w:bCs/>
        </w:rPr>
        <w:t xml:space="preserve"> </w:t>
      </w:r>
      <w:r w:rsidR="0097318E">
        <w:rPr>
          <w:bCs/>
        </w:rPr>
        <w:t>Y s</w:t>
      </w:r>
      <w:r w:rsidR="008272A2">
        <w:rPr>
          <w:bCs/>
        </w:rPr>
        <w:t xml:space="preserve">i el precepto </w:t>
      </w:r>
      <w:r w:rsidR="00D645C9">
        <w:rPr>
          <w:bCs/>
        </w:rPr>
        <w:t xml:space="preserve">impugnado </w:t>
      </w:r>
      <w:r w:rsidR="008272A2">
        <w:rPr>
          <w:bCs/>
        </w:rPr>
        <w:t>no se modificó en ese rubro</w:t>
      </w:r>
      <w:r w:rsidR="00D251DB">
        <w:rPr>
          <w:bCs/>
        </w:rPr>
        <w:t xml:space="preserve"> específico</w:t>
      </w:r>
      <w:r w:rsidR="008272A2">
        <w:rPr>
          <w:bCs/>
        </w:rPr>
        <w:t>,</w:t>
      </w:r>
      <w:r w:rsidR="0097318E">
        <w:rPr>
          <w:bCs/>
        </w:rPr>
        <w:t xml:space="preserve"> entonces</w:t>
      </w:r>
      <w:r w:rsidR="008272A2">
        <w:rPr>
          <w:bCs/>
        </w:rPr>
        <w:t xml:space="preserve"> ningún sentido tiene</w:t>
      </w:r>
      <w:r w:rsidR="00D645C9">
        <w:rPr>
          <w:bCs/>
        </w:rPr>
        <w:t xml:space="preserve"> analizar el propósito de los legisladores locales para aprobar</w:t>
      </w:r>
      <w:r w:rsidR="00D251DB">
        <w:rPr>
          <w:bCs/>
        </w:rPr>
        <w:t xml:space="preserve"> esas</w:t>
      </w:r>
      <w:r w:rsidR="00D645C9">
        <w:rPr>
          <w:bCs/>
        </w:rPr>
        <w:t xml:space="preserve"> reformas</w:t>
      </w:r>
      <w:r w:rsidR="00D251DB">
        <w:rPr>
          <w:bCs/>
        </w:rPr>
        <w:t>,</w:t>
      </w:r>
      <w:r w:rsidR="00D645C9">
        <w:rPr>
          <w:bCs/>
        </w:rPr>
        <w:t xml:space="preserve"> </w:t>
      </w:r>
      <w:r w:rsidR="00D251DB">
        <w:rPr>
          <w:bCs/>
        </w:rPr>
        <w:t>pues</w:t>
      </w:r>
      <w:r w:rsidR="00D645C9">
        <w:rPr>
          <w:bCs/>
        </w:rPr>
        <w:t xml:space="preserve"> no incide en modo alguno en quiénes son los destinatarios de la obligación</w:t>
      </w:r>
      <w:r w:rsidR="008272A2">
        <w:rPr>
          <w:bCs/>
        </w:rPr>
        <w:t>.</w:t>
      </w:r>
    </w:p>
    <w:p w14:paraId="25CF2EBE" w14:textId="35FE0AAB" w:rsidR="00B41430" w:rsidRPr="00B41430" w:rsidRDefault="008722BC" w:rsidP="00B41430">
      <w:pPr>
        <w:pStyle w:val="Prrafo"/>
        <w:numPr>
          <w:ilvl w:val="0"/>
          <w:numId w:val="6"/>
        </w:numPr>
        <w:ind w:left="0" w:hanging="567"/>
      </w:pPr>
      <w:r>
        <w:rPr>
          <w:bCs/>
        </w:rPr>
        <w:t xml:space="preserve">Por estas razones, </w:t>
      </w:r>
      <w:r w:rsidR="000E5383">
        <w:rPr>
          <w:bCs/>
        </w:rPr>
        <w:t>la Suprema Corte</w:t>
      </w:r>
      <w:r w:rsidR="00AB6442">
        <w:rPr>
          <w:bCs/>
        </w:rPr>
        <w:t xml:space="preserve"> </w:t>
      </w:r>
      <w:r w:rsidR="000E5383">
        <w:rPr>
          <w:bCs/>
        </w:rPr>
        <w:t>estima</w:t>
      </w:r>
      <w:r w:rsidR="00AB6442">
        <w:rPr>
          <w:bCs/>
        </w:rPr>
        <w:t xml:space="preserve"> que son</w:t>
      </w:r>
      <w:r>
        <w:rPr>
          <w:bCs/>
        </w:rPr>
        <w:t xml:space="preserve"> </w:t>
      </w:r>
      <w:r w:rsidRPr="001B5BF4">
        <w:rPr>
          <w:b/>
        </w:rPr>
        <w:t>infundados</w:t>
      </w:r>
      <w:r>
        <w:rPr>
          <w:bCs/>
        </w:rPr>
        <w:t xml:space="preserve"> </w:t>
      </w:r>
      <w:r w:rsidR="000E5383">
        <w:rPr>
          <w:bCs/>
        </w:rPr>
        <w:t xml:space="preserve">todos </w:t>
      </w:r>
      <w:r>
        <w:rPr>
          <w:bCs/>
        </w:rPr>
        <w:t>los conceptos de invalidez formulados por el partido accionante, sin que sea necesario abordar</w:t>
      </w:r>
      <w:r w:rsidR="00C35607">
        <w:rPr>
          <w:bCs/>
        </w:rPr>
        <w:t xml:space="preserve"> pormenorizadamente</w:t>
      </w:r>
      <w:r>
        <w:rPr>
          <w:bCs/>
        </w:rPr>
        <w:t xml:space="preserve"> las restantes cuestiones, pues </w:t>
      </w:r>
      <w:r w:rsidR="00C35607">
        <w:rPr>
          <w:bCs/>
        </w:rPr>
        <w:t>ello</w:t>
      </w:r>
      <w:r>
        <w:rPr>
          <w:bCs/>
        </w:rPr>
        <w:t xml:space="preserve"> únicamente tendría sentido si efectivamente existiera la obligación de la que se duele el partido actor. Pero como no hay</w:t>
      </w:r>
      <w:r w:rsidR="00C35607">
        <w:rPr>
          <w:bCs/>
        </w:rPr>
        <w:t xml:space="preserve"> tal obligación de rendir un informe para el </w:t>
      </w:r>
      <w:r w:rsidR="00C35607">
        <w:t>Instituto Estatal Electoral y de Participación Ciudadana de Oaxaca ni tampoco para el Tribunal Electoral del Estado de Oaxaca</w:t>
      </w:r>
      <w:r>
        <w:rPr>
          <w:bCs/>
        </w:rPr>
        <w:t xml:space="preserve">, entonces lógicamente el decreto impugnado no puede vulnerar por esa razón específica la autonomía e independencia de </w:t>
      </w:r>
      <w:r w:rsidR="00C35607">
        <w:rPr>
          <w:bCs/>
        </w:rPr>
        <w:t>es</w:t>
      </w:r>
      <w:r>
        <w:rPr>
          <w:bCs/>
        </w:rPr>
        <w:t>as instituciones electorales locales, ni tampoco las atribuciones del Congreso de la Unión</w:t>
      </w:r>
      <w:r w:rsidR="00C35607">
        <w:rPr>
          <w:bCs/>
        </w:rPr>
        <w:t xml:space="preserve"> en la materia</w:t>
      </w:r>
      <w:r>
        <w:rPr>
          <w:bCs/>
        </w:rPr>
        <w:t xml:space="preserve">. En esta tesitura, </w:t>
      </w:r>
      <w:r w:rsidRPr="006C1126">
        <w:rPr>
          <w:b/>
        </w:rPr>
        <w:t>debe reconocerse la validez</w:t>
      </w:r>
      <w:r>
        <w:rPr>
          <w:bCs/>
        </w:rPr>
        <w:t xml:space="preserve"> del</w:t>
      </w:r>
      <w:r w:rsidR="00B41430" w:rsidRPr="00B41430">
        <w:t xml:space="preserve"> Decreto No. 2617, publicado en el Periódico Oficial del Estado de Oaxaca el dieciocho de septiembre de dos mil veintiuno, por medio del cual se reformó el artículo 114</w:t>
      </w:r>
      <w:r w:rsidR="00FF4A84">
        <w:t>, párrafo primero,</w:t>
      </w:r>
      <w:r w:rsidR="00B41430" w:rsidRPr="00B41430">
        <w:t xml:space="preserve"> de la Constitución Política del Estado Libre y Soberano de Oaxaca.</w:t>
      </w:r>
    </w:p>
    <w:p w14:paraId="401C6C0E" w14:textId="74895F18" w:rsidR="00DC6554" w:rsidRDefault="00780461" w:rsidP="00780461">
      <w:pPr>
        <w:pStyle w:val="Prrafo"/>
        <w:numPr>
          <w:ilvl w:val="0"/>
          <w:numId w:val="6"/>
        </w:numPr>
        <w:ind w:left="0" w:hanging="567"/>
      </w:pPr>
      <w:r w:rsidRPr="0059627C">
        <w:t xml:space="preserve">Estas consideraciones son obligatorias al haberse aprobado por </w:t>
      </w:r>
      <w:r w:rsidR="00DC6554">
        <w:t>mayoría de nueve votos.</w:t>
      </w:r>
      <w:r w:rsidR="00DC6554">
        <w:rPr>
          <w:lang w:val="es-ES"/>
        </w:rPr>
        <w:t xml:space="preserve">  </w:t>
      </w:r>
    </w:p>
    <w:p w14:paraId="1125DC20" w14:textId="60CBC1A8" w:rsidR="00F15FD9" w:rsidRPr="0059627C" w:rsidRDefault="00F15FD9" w:rsidP="00E76501">
      <w:pPr>
        <w:pStyle w:val="Ttulo3"/>
        <w:numPr>
          <w:ilvl w:val="0"/>
          <w:numId w:val="7"/>
        </w:numPr>
        <w:ind w:left="0" w:firstLine="0"/>
      </w:pPr>
      <w:r w:rsidRPr="0059627C">
        <w:t>DECISIÓN</w:t>
      </w:r>
    </w:p>
    <w:p w14:paraId="747A6DA5" w14:textId="6F08BC7E" w:rsidR="00F15FD9" w:rsidRPr="0059627C" w:rsidRDefault="00F15FD9" w:rsidP="00E76501">
      <w:pPr>
        <w:pStyle w:val="Prrafo"/>
        <w:numPr>
          <w:ilvl w:val="0"/>
          <w:numId w:val="6"/>
        </w:numPr>
        <w:spacing w:before="0" w:after="360"/>
        <w:ind w:left="0" w:hanging="567"/>
      </w:pPr>
      <w:r w:rsidRPr="0059627C">
        <w:t xml:space="preserve">Por lo antes expuesto, </w:t>
      </w:r>
      <w:r w:rsidR="006D42F5">
        <w:t>el Pleno</w:t>
      </w:r>
      <w:r w:rsidR="0030182A">
        <w:t xml:space="preserve"> </w:t>
      </w:r>
      <w:r w:rsidRPr="0059627C">
        <w:t>de la Suprema Corte de Justicia de la Nación resuelve:</w:t>
      </w:r>
    </w:p>
    <w:p w14:paraId="17CD51B9" w14:textId="62D6F96D" w:rsidR="00F15FD9" w:rsidRPr="0059627C" w:rsidRDefault="00F15FD9" w:rsidP="00F15FD9">
      <w:pPr>
        <w:pStyle w:val="Prrafo"/>
        <w:ind w:firstLine="708"/>
      </w:pPr>
      <w:r w:rsidRPr="0059627C">
        <w:rPr>
          <w:b/>
        </w:rPr>
        <w:t>PRIMERO.</w:t>
      </w:r>
      <w:r w:rsidRPr="0059627C">
        <w:t xml:space="preserve"> </w:t>
      </w:r>
      <w:r w:rsidR="00730291" w:rsidRPr="00730291">
        <w:t>Es procedente, pero infundada la presente acción de inconstitucionalidad</w:t>
      </w:r>
      <w:r w:rsidR="00730291">
        <w:t>.</w:t>
      </w:r>
    </w:p>
    <w:p w14:paraId="5898C392" w14:textId="7362732A" w:rsidR="00B1757C" w:rsidRPr="0059627C" w:rsidRDefault="00F15FD9" w:rsidP="00B1757C">
      <w:pPr>
        <w:pStyle w:val="Prrafo"/>
        <w:ind w:firstLine="708"/>
      </w:pPr>
      <w:r w:rsidRPr="0059627C">
        <w:rPr>
          <w:b/>
        </w:rPr>
        <w:t>SEGUNDO.</w:t>
      </w:r>
      <w:r w:rsidRPr="0059627C">
        <w:t xml:space="preserve"> </w:t>
      </w:r>
      <w:bookmarkStart w:id="10" w:name="_Hlk64367249"/>
      <w:r w:rsidR="000A2C10" w:rsidRPr="000A2C10">
        <w:t>Se reconoce la validez del artículo 114, párrafo primero, de la Constitución Política del Estado Libre y Soberano de Oaxaca, reformado mediante el Decreto Núm. 2617, publicado en el Periódico Oficial de dicha entidad federativa el dieciocho de septiembre de dos mil veintiuno, al tenor de la interpretación conforme en virtud de la cual, dentro de los titulares de los órganos constitucionales autónomos referidos en ese numeral, no se encuentran los titulares del Instituto Electoral ni del Tribunal Electoral del Estado de Oaxaca, en términos del apartado VI de esta decisión</w:t>
      </w:r>
      <w:r w:rsidR="000A2C10">
        <w:t>.</w:t>
      </w:r>
    </w:p>
    <w:bookmarkEnd w:id="10"/>
    <w:p w14:paraId="6AA678B0" w14:textId="3D10314C" w:rsidR="00B1757C" w:rsidRDefault="00F15FD9" w:rsidP="00B1757C">
      <w:pPr>
        <w:pStyle w:val="Prrafo"/>
        <w:ind w:firstLine="708"/>
      </w:pPr>
      <w:r w:rsidRPr="0059627C">
        <w:rPr>
          <w:b/>
          <w:lang w:val="es-ES_tradnl"/>
        </w:rPr>
        <w:t>TERCERO.</w:t>
      </w:r>
      <w:r w:rsidRPr="0059627C">
        <w:rPr>
          <w:lang w:val="es-ES_tradnl"/>
        </w:rPr>
        <w:t xml:space="preserve"> </w:t>
      </w:r>
      <w:bookmarkStart w:id="11" w:name="_Hlk64367261"/>
      <w:r w:rsidR="0091211F" w:rsidRPr="0091211F">
        <w:t>Publíquese esta resolución en el Semanario Judicial de la Federación y su Gaceta</w:t>
      </w:r>
      <w:r w:rsidR="0091211F">
        <w:t>.</w:t>
      </w:r>
    </w:p>
    <w:bookmarkEnd w:id="11"/>
    <w:p w14:paraId="1751EEF2" w14:textId="2139795B" w:rsidR="00877171" w:rsidRDefault="0017443D" w:rsidP="0017443D">
      <w:pPr>
        <w:pStyle w:val="Prrafo"/>
      </w:pPr>
      <w:r w:rsidRPr="0059627C">
        <w:rPr>
          <w:b/>
        </w:rPr>
        <w:t>Notifíquese;</w:t>
      </w:r>
      <w:r w:rsidRPr="0059627C">
        <w:t xml:space="preserve"> mediante oficio a las partes y, en su oportunidad, archívese el expediente como asunto concluido.</w:t>
      </w:r>
    </w:p>
    <w:p w14:paraId="61AD9FEA" w14:textId="77777777" w:rsidR="00877171" w:rsidRPr="00877171" w:rsidRDefault="00877171" w:rsidP="00877171">
      <w:pPr>
        <w:spacing w:before="100" w:beforeAutospacing="1" w:line="360" w:lineRule="auto"/>
        <w:ind w:firstLine="708"/>
        <w:rPr>
          <w:sz w:val="26"/>
          <w:szCs w:val="26"/>
        </w:rPr>
      </w:pPr>
      <w:r w:rsidRPr="00877171">
        <w:rPr>
          <w:sz w:val="26"/>
          <w:szCs w:val="26"/>
        </w:rPr>
        <w:t>Así lo resolvió el Pleno de la Suprema Corte de Justicia de la Nación:</w:t>
      </w:r>
    </w:p>
    <w:p w14:paraId="5CDCCDC4" w14:textId="77777777" w:rsidR="00877171" w:rsidRPr="00877171" w:rsidRDefault="00877171" w:rsidP="00877171">
      <w:pPr>
        <w:spacing w:before="100" w:beforeAutospacing="1" w:line="360" w:lineRule="auto"/>
        <w:ind w:firstLine="708"/>
        <w:rPr>
          <w:b/>
          <w:sz w:val="26"/>
          <w:szCs w:val="26"/>
        </w:rPr>
      </w:pPr>
      <w:r w:rsidRPr="00877171">
        <w:rPr>
          <w:b/>
          <w:sz w:val="26"/>
          <w:szCs w:val="26"/>
        </w:rPr>
        <w:t>En relación con el punto resolutivo primero:</w:t>
      </w:r>
    </w:p>
    <w:p w14:paraId="1DCEB86A" w14:textId="0D3D91D1" w:rsidR="00877171" w:rsidRPr="00877171" w:rsidRDefault="00877171" w:rsidP="00877171">
      <w:pPr>
        <w:spacing w:before="100" w:beforeAutospacing="1" w:line="360" w:lineRule="auto"/>
        <w:ind w:firstLine="708"/>
        <w:rPr>
          <w:sz w:val="26"/>
          <w:szCs w:val="26"/>
          <w:lang w:val="es-ES"/>
        </w:rPr>
      </w:pPr>
      <w:r w:rsidRPr="00877171">
        <w:rPr>
          <w:sz w:val="26"/>
          <w:szCs w:val="26"/>
          <w:lang w:val="es-ES"/>
        </w:rPr>
        <w:t xml:space="preserve">Se aprobó por unanimidad de diez votos de las señoras </w:t>
      </w:r>
      <w:r w:rsidR="0031369F">
        <w:rPr>
          <w:sz w:val="26"/>
          <w:szCs w:val="26"/>
          <w:lang w:val="es-ES"/>
        </w:rPr>
        <w:t>ministra</w:t>
      </w:r>
      <w:r w:rsidRPr="00877171">
        <w:rPr>
          <w:sz w:val="26"/>
          <w:szCs w:val="26"/>
          <w:lang w:val="es-ES"/>
        </w:rPr>
        <w:t xml:space="preserve">s y de los señores </w:t>
      </w:r>
      <w:r w:rsidR="0031369F">
        <w:rPr>
          <w:sz w:val="26"/>
          <w:szCs w:val="26"/>
          <w:lang w:val="es-ES"/>
        </w:rPr>
        <w:t>ministro</w:t>
      </w:r>
      <w:r w:rsidRPr="00877171">
        <w:rPr>
          <w:sz w:val="26"/>
          <w:szCs w:val="26"/>
          <w:lang w:val="es-ES"/>
        </w:rPr>
        <w:t xml:space="preserve">s Gutiérrez Ortiz Mena, González Alcántara Carrancá, Esquivel Mossa, </w:t>
      </w:r>
      <w:r w:rsidRPr="00877171">
        <w:rPr>
          <w:sz w:val="26"/>
          <w:szCs w:val="26"/>
          <w:lang w:val="es-ES" w:eastAsia="es-ES"/>
        </w:rPr>
        <w:t>Ortiz Ahlf</w:t>
      </w:r>
      <w:r w:rsidRPr="00877171">
        <w:rPr>
          <w:sz w:val="26"/>
          <w:szCs w:val="26"/>
          <w:lang w:val="es-ES"/>
        </w:rPr>
        <w:t xml:space="preserve">, Aguilar Morales, Piña Hernández, Ríos Farjat, Laynez Potisek, Pérez Dayán y Presidente Zaldívar Lelo de Larrea apartándose de algunas consideraciones, respecto de los apartados I, II, III, IV y V relativos, respectivamente, a la competencia, a la precisión de las normas reclamadas, a la oportunidad, a la legitimación y a la causa de improcedencia. </w:t>
      </w:r>
      <w:r w:rsidRPr="00877171">
        <w:rPr>
          <w:sz w:val="26"/>
          <w:szCs w:val="26"/>
          <w:lang w:val="es-ES" w:eastAsia="es-ES"/>
        </w:rPr>
        <w:t xml:space="preserve">El señor </w:t>
      </w:r>
      <w:r w:rsidR="0031369F">
        <w:rPr>
          <w:sz w:val="26"/>
          <w:szCs w:val="26"/>
          <w:lang w:val="es-ES" w:eastAsia="es-ES"/>
        </w:rPr>
        <w:t>ministro</w:t>
      </w:r>
      <w:r w:rsidRPr="00877171">
        <w:rPr>
          <w:sz w:val="26"/>
          <w:szCs w:val="26"/>
          <w:lang w:val="es-ES" w:eastAsia="es-ES"/>
        </w:rPr>
        <w:t xml:space="preserve"> Presidente Zaldívar Lelo de Larrea reservó su derecho de formular voto concurrente.</w:t>
      </w:r>
    </w:p>
    <w:p w14:paraId="1E8576AD" w14:textId="77777777" w:rsidR="00877171" w:rsidRPr="00877171" w:rsidRDefault="00877171" w:rsidP="00877171">
      <w:pPr>
        <w:spacing w:before="100" w:beforeAutospacing="1" w:line="360" w:lineRule="auto"/>
        <w:ind w:firstLine="708"/>
        <w:rPr>
          <w:b/>
          <w:sz w:val="26"/>
          <w:szCs w:val="26"/>
        </w:rPr>
      </w:pPr>
      <w:r w:rsidRPr="00877171">
        <w:rPr>
          <w:b/>
          <w:sz w:val="26"/>
          <w:szCs w:val="26"/>
        </w:rPr>
        <w:t>En relación con el punto resolutivo segundo:</w:t>
      </w:r>
    </w:p>
    <w:p w14:paraId="01269F39" w14:textId="133B6B70" w:rsidR="00877171" w:rsidRPr="00877171" w:rsidRDefault="00877171" w:rsidP="00877171">
      <w:pPr>
        <w:spacing w:before="100" w:beforeAutospacing="1" w:line="360" w:lineRule="auto"/>
        <w:ind w:firstLine="708"/>
        <w:rPr>
          <w:sz w:val="26"/>
          <w:szCs w:val="26"/>
          <w:lang w:val="es-ES"/>
        </w:rPr>
      </w:pPr>
      <w:r w:rsidRPr="00877171">
        <w:rPr>
          <w:sz w:val="26"/>
          <w:szCs w:val="26"/>
          <w:lang w:val="es-ES"/>
        </w:rPr>
        <w:t xml:space="preserve">Se aprobó por unanimidad de diez votos de las señoras </w:t>
      </w:r>
      <w:r w:rsidR="0031369F">
        <w:rPr>
          <w:sz w:val="26"/>
          <w:szCs w:val="26"/>
          <w:lang w:val="es-ES"/>
        </w:rPr>
        <w:t>ministra</w:t>
      </w:r>
      <w:r w:rsidRPr="00877171">
        <w:rPr>
          <w:sz w:val="26"/>
          <w:szCs w:val="26"/>
          <w:lang w:val="es-ES"/>
        </w:rPr>
        <w:t xml:space="preserve">s y de los señores </w:t>
      </w:r>
      <w:r w:rsidR="0031369F">
        <w:rPr>
          <w:sz w:val="26"/>
          <w:szCs w:val="26"/>
          <w:lang w:val="es-ES"/>
        </w:rPr>
        <w:t>ministro</w:t>
      </w:r>
      <w:r w:rsidRPr="00877171">
        <w:rPr>
          <w:sz w:val="26"/>
          <w:szCs w:val="26"/>
          <w:lang w:val="es-ES"/>
        </w:rPr>
        <w:t xml:space="preserve">s Gutiérrez Ortiz Mena apartándose de algunas consideraciones, González Alcántara Carrancá apartándose de algunas consideraciones, Esquivel Mossa, </w:t>
      </w:r>
      <w:r w:rsidRPr="00877171">
        <w:rPr>
          <w:sz w:val="26"/>
          <w:szCs w:val="26"/>
          <w:lang w:val="es-ES" w:eastAsia="es-ES"/>
        </w:rPr>
        <w:t>Ortiz Ahlf</w:t>
      </w:r>
      <w:r w:rsidRPr="00877171">
        <w:rPr>
          <w:sz w:val="26"/>
          <w:szCs w:val="26"/>
          <w:lang w:val="es-ES"/>
        </w:rPr>
        <w:t xml:space="preserve">, Aguilar Morales, Piña Hernández, Ríos Farjat con matices, Laynez Potisek, Pérez Dayán y Presidente Zaldívar Lelo de Larrea apartándose de algunas consideraciones, respecto del </w:t>
      </w:r>
      <w:r w:rsidRPr="00877171">
        <w:rPr>
          <w:sz w:val="26"/>
          <w:szCs w:val="26"/>
          <w:lang w:val="es-ES" w:eastAsia="es-ES"/>
        </w:rPr>
        <w:t>apartado VI, relativo al estudio de fondo</w:t>
      </w:r>
      <w:r w:rsidRPr="00877171">
        <w:rPr>
          <w:sz w:val="26"/>
          <w:szCs w:val="26"/>
          <w:lang w:val="es-ES"/>
        </w:rPr>
        <w:t xml:space="preserve">, consistente en </w:t>
      </w:r>
      <w:r w:rsidRPr="00877171">
        <w:rPr>
          <w:sz w:val="26"/>
          <w:szCs w:val="26"/>
          <w:lang w:val="es-ES" w:eastAsia="es-ES"/>
        </w:rPr>
        <w:t>reconocer la validez del artículo 114, párrafo primero, de la Constitución Política del Estado Libre y Soberano de Oaxaca, reformado mediante el Decreto Núm. 2617, publicado en el Periódico Oficial de dicha entidad federativa el dieciocho de septiembre de dos mil veintiuno, al tenor de la interpretación conforme propuesta</w:t>
      </w:r>
      <w:r w:rsidRPr="00877171">
        <w:rPr>
          <w:sz w:val="26"/>
          <w:szCs w:val="26"/>
          <w:lang w:val="es-ES"/>
        </w:rPr>
        <w:t xml:space="preserve">. Los señores </w:t>
      </w:r>
      <w:r w:rsidR="0031369F">
        <w:rPr>
          <w:sz w:val="26"/>
          <w:szCs w:val="26"/>
          <w:lang w:val="es-ES"/>
        </w:rPr>
        <w:t>ministro</w:t>
      </w:r>
      <w:r w:rsidRPr="00877171">
        <w:rPr>
          <w:sz w:val="26"/>
          <w:szCs w:val="26"/>
          <w:lang w:val="es-ES"/>
        </w:rPr>
        <w:t>s Gutiérrez Ortiz Mena, González Alcántara Carrancá y Presidente Zaldívar Lelo de Larrea anunciaron sendos votos concurrentes.</w:t>
      </w:r>
    </w:p>
    <w:p w14:paraId="41B6EF0D" w14:textId="77777777" w:rsidR="00877171" w:rsidRPr="00877171" w:rsidRDefault="00877171" w:rsidP="00877171">
      <w:pPr>
        <w:spacing w:before="100" w:beforeAutospacing="1" w:line="360" w:lineRule="auto"/>
        <w:ind w:firstLine="708"/>
        <w:rPr>
          <w:b/>
          <w:sz w:val="26"/>
          <w:szCs w:val="26"/>
        </w:rPr>
      </w:pPr>
      <w:r w:rsidRPr="00877171">
        <w:rPr>
          <w:b/>
          <w:sz w:val="26"/>
          <w:szCs w:val="26"/>
        </w:rPr>
        <w:t>En relación con el punto resolutivo tercero:</w:t>
      </w:r>
    </w:p>
    <w:p w14:paraId="21FD990C" w14:textId="259D007A" w:rsidR="00877171" w:rsidRPr="00877171" w:rsidRDefault="00877171" w:rsidP="00877171">
      <w:pPr>
        <w:spacing w:before="100" w:beforeAutospacing="1" w:line="360" w:lineRule="auto"/>
        <w:ind w:firstLine="708"/>
        <w:rPr>
          <w:sz w:val="26"/>
          <w:szCs w:val="26"/>
          <w:lang w:val="es-ES"/>
        </w:rPr>
      </w:pPr>
      <w:r w:rsidRPr="00877171">
        <w:rPr>
          <w:sz w:val="26"/>
          <w:szCs w:val="26"/>
          <w:lang w:val="es-ES"/>
        </w:rPr>
        <w:t xml:space="preserve">Se aprobó por unanimidad de diez votos de las señoras </w:t>
      </w:r>
      <w:r w:rsidR="0031369F">
        <w:rPr>
          <w:sz w:val="26"/>
          <w:szCs w:val="26"/>
          <w:lang w:val="es-ES"/>
        </w:rPr>
        <w:t>ministra</w:t>
      </w:r>
      <w:r w:rsidRPr="00877171">
        <w:rPr>
          <w:sz w:val="26"/>
          <w:szCs w:val="26"/>
          <w:lang w:val="es-ES"/>
        </w:rPr>
        <w:t xml:space="preserve">s y de los señores </w:t>
      </w:r>
      <w:r w:rsidR="0031369F">
        <w:rPr>
          <w:sz w:val="26"/>
          <w:szCs w:val="26"/>
          <w:lang w:val="es-ES"/>
        </w:rPr>
        <w:t>ministro</w:t>
      </w:r>
      <w:r w:rsidRPr="00877171">
        <w:rPr>
          <w:sz w:val="26"/>
          <w:szCs w:val="26"/>
          <w:lang w:val="es-ES"/>
        </w:rPr>
        <w:t xml:space="preserve">s Gutiérrez Ortiz Mena, González Alcántara Carrancá, Esquivel Mossa, </w:t>
      </w:r>
      <w:r w:rsidRPr="00877171">
        <w:rPr>
          <w:sz w:val="26"/>
          <w:szCs w:val="26"/>
          <w:lang w:val="es-ES" w:eastAsia="es-ES"/>
        </w:rPr>
        <w:t>Ortiz Ahlf</w:t>
      </w:r>
      <w:r w:rsidRPr="00877171">
        <w:rPr>
          <w:sz w:val="26"/>
          <w:szCs w:val="26"/>
          <w:lang w:val="es-ES"/>
        </w:rPr>
        <w:t>, Aguilar Morales, Piña Hernández, Ríos Farjat, Laynez Potisek, Pérez Dayán y Presidente Zaldívar Lelo de Larrea.</w:t>
      </w:r>
    </w:p>
    <w:p w14:paraId="18E51FB4" w14:textId="0518178E" w:rsidR="00877171" w:rsidRPr="00877171" w:rsidRDefault="00877171" w:rsidP="00877171">
      <w:pPr>
        <w:spacing w:before="100" w:beforeAutospacing="1" w:line="360" w:lineRule="auto"/>
        <w:ind w:firstLine="709"/>
        <w:rPr>
          <w:sz w:val="26"/>
          <w:szCs w:val="26"/>
        </w:rPr>
      </w:pPr>
      <w:r w:rsidRPr="00877171">
        <w:rPr>
          <w:sz w:val="26"/>
          <w:szCs w:val="26"/>
          <w:lang w:val="es-ES" w:eastAsia="es-ES"/>
        </w:rPr>
        <w:t xml:space="preserve">El señor </w:t>
      </w:r>
      <w:r w:rsidR="0031369F">
        <w:rPr>
          <w:sz w:val="26"/>
          <w:szCs w:val="26"/>
          <w:lang w:val="es-ES" w:eastAsia="es-ES"/>
        </w:rPr>
        <w:t>ministro</w:t>
      </w:r>
      <w:r w:rsidRPr="00877171">
        <w:rPr>
          <w:sz w:val="26"/>
          <w:szCs w:val="26"/>
          <w:lang w:val="es-ES" w:eastAsia="es-ES"/>
        </w:rPr>
        <w:t xml:space="preserve"> </w:t>
      </w:r>
      <w:r w:rsidRPr="00877171">
        <w:rPr>
          <w:sz w:val="26"/>
          <w:szCs w:val="26"/>
        </w:rPr>
        <w:t xml:space="preserve">Jorge Mario </w:t>
      </w:r>
      <w:r w:rsidRPr="00877171">
        <w:rPr>
          <w:sz w:val="26"/>
          <w:szCs w:val="26"/>
          <w:lang w:val="es-ES" w:eastAsia="es-ES"/>
        </w:rPr>
        <w:t>Pardo Rebolledo no asistió a la sesión de diez de marzo de dos mil veintidós previo aviso a la Presidencia.</w:t>
      </w:r>
    </w:p>
    <w:p w14:paraId="1F357A9D" w14:textId="3BBA1DD3" w:rsidR="00877171" w:rsidRDefault="00877171" w:rsidP="00877171">
      <w:pPr>
        <w:spacing w:before="100" w:beforeAutospacing="1" w:line="360" w:lineRule="auto"/>
        <w:ind w:firstLine="708"/>
        <w:rPr>
          <w:sz w:val="26"/>
          <w:szCs w:val="26"/>
        </w:rPr>
      </w:pPr>
      <w:r w:rsidRPr="00877171">
        <w:rPr>
          <w:sz w:val="26"/>
          <w:szCs w:val="26"/>
        </w:rPr>
        <w:t xml:space="preserve">El señor </w:t>
      </w:r>
      <w:r w:rsidR="0031369F">
        <w:rPr>
          <w:sz w:val="26"/>
          <w:szCs w:val="26"/>
        </w:rPr>
        <w:t>ministro</w:t>
      </w:r>
      <w:r w:rsidRPr="00877171">
        <w:rPr>
          <w:sz w:val="26"/>
          <w:szCs w:val="26"/>
        </w:rPr>
        <w:t xml:space="preserve"> Presidente Zaldívar Lelo de Larrea declaró que el asunto se resolvió en los términos propuestos.</w:t>
      </w:r>
      <w:r w:rsidR="002C621B">
        <w:rPr>
          <w:sz w:val="26"/>
          <w:szCs w:val="26"/>
        </w:rPr>
        <w:t xml:space="preserve"> Doy fe.</w:t>
      </w:r>
    </w:p>
    <w:p w14:paraId="6BC20B01" w14:textId="2852FD31" w:rsidR="0017443D" w:rsidRDefault="0095603F" w:rsidP="002C621B">
      <w:pPr>
        <w:spacing w:before="100" w:beforeAutospacing="1" w:line="360" w:lineRule="auto"/>
        <w:ind w:firstLine="708"/>
        <w:rPr>
          <w:sz w:val="26"/>
          <w:szCs w:val="26"/>
        </w:rPr>
      </w:pPr>
      <w:r>
        <w:rPr>
          <w:sz w:val="26"/>
          <w:szCs w:val="26"/>
        </w:rPr>
        <w:t xml:space="preserve">Firman </w:t>
      </w:r>
      <w:r w:rsidR="006C39EA">
        <w:rPr>
          <w:sz w:val="26"/>
          <w:szCs w:val="26"/>
        </w:rPr>
        <w:t>el señor M</w:t>
      </w:r>
      <w:r>
        <w:rPr>
          <w:sz w:val="26"/>
          <w:szCs w:val="26"/>
        </w:rPr>
        <w:t>inistro Presidente de la Suprema Corte de Justicia de la Nación y el Ponente, con el Secretario General de Acuerdos, que autoriza y da fe.</w:t>
      </w:r>
    </w:p>
    <w:p w14:paraId="77FCBB4D" w14:textId="77777777" w:rsidR="00D077F6" w:rsidRPr="00A7289F" w:rsidRDefault="00D077F6" w:rsidP="002C621B">
      <w:pPr>
        <w:spacing w:before="100" w:beforeAutospacing="1" w:line="360" w:lineRule="auto"/>
        <w:ind w:firstLine="708"/>
        <w:rPr>
          <w:sz w:val="26"/>
          <w:szCs w:val="26"/>
        </w:rPr>
      </w:pPr>
    </w:p>
    <w:p w14:paraId="6F8202AF" w14:textId="7B118E74" w:rsidR="0095603F" w:rsidRPr="005C556A" w:rsidRDefault="0095603F" w:rsidP="00D077F6">
      <w:pPr>
        <w:pStyle w:val="Textoindependiente"/>
        <w:ind w:left="102" w:right="103" w:hanging="1"/>
        <w:jc w:val="center"/>
        <w:rPr>
          <w:b/>
          <w:bCs/>
          <w:sz w:val="28"/>
          <w:szCs w:val="28"/>
          <w:lang w:val="es-MX"/>
        </w:rPr>
      </w:pPr>
      <w:r w:rsidRPr="005C556A">
        <w:rPr>
          <w:b/>
          <w:bCs/>
          <w:sz w:val="28"/>
          <w:szCs w:val="28"/>
          <w:lang w:val="es-MX"/>
        </w:rPr>
        <w:t>MINISTRO PRESIDENTE</w:t>
      </w:r>
    </w:p>
    <w:p w14:paraId="1984FD45" w14:textId="37D3CD45" w:rsidR="00A7289F" w:rsidRDefault="00A7289F" w:rsidP="00D077F6">
      <w:pPr>
        <w:pStyle w:val="Textoindependiente"/>
        <w:ind w:left="102" w:right="103" w:hanging="1"/>
        <w:jc w:val="center"/>
        <w:rPr>
          <w:b/>
          <w:bCs/>
          <w:sz w:val="28"/>
          <w:szCs w:val="28"/>
          <w:lang w:val="es-MX"/>
        </w:rPr>
      </w:pPr>
    </w:p>
    <w:p w14:paraId="5376B3CC" w14:textId="77777777" w:rsidR="00D077F6" w:rsidRPr="005C556A" w:rsidRDefault="00D077F6" w:rsidP="00D077F6">
      <w:pPr>
        <w:pStyle w:val="Textoindependiente"/>
        <w:ind w:left="102" w:right="103" w:hanging="1"/>
        <w:jc w:val="center"/>
        <w:rPr>
          <w:b/>
          <w:bCs/>
          <w:sz w:val="28"/>
          <w:szCs w:val="28"/>
          <w:lang w:val="es-MX"/>
        </w:rPr>
      </w:pPr>
    </w:p>
    <w:p w14:paraId="604BC6BF" w14:textId="09ED26A7" w:rsidR="0095603F" w:rsidRDefault="0095603F" w:rsidP="00D077F6">
      <w:pPr>
        <w:pStyle w:val="Textoindependiente"/>
        <w:ind w:left="102" w:right="103" w:hanging="1"/>
        <w:jc w:val="center"/>
        <w:rPr>
          <w:b/>
          <w:bCs/>
          <w:sz w:val="28"/>
          <w:szCs w:val="28"/>
          <w:lang w:val="es-MX"/>
        </w:rPr>
      </w:pPr>
      <w:r w:rsidRPr="005C556A">
        <w:rPr>
          <w:b/>
          <w:bCs/>
          <w:sz w:val="28"/>
          <w:szCs w:val="28"/>
          <w:lang w:val="es-MX"/>
        </w:rPr>
        <w:t>ARTURO ZALDÍVAR LELO DE LARREA</w:t>
      </w:r>
    </w:p>
    <w:p w14:paraId="6052CD53" w14:textId="497032C3" w:rsidR="00A7289F" w:rsidRDefault="00A7289F" w:rsidP="00D077F6">
      <w:pPr>
        <w:pStyle w:val="Textoindependiente"/>
        <w:ind w:left="102" w:right="103" w:hanging="1"/>
        <w:jc w:val="center"/>
        <w:rPr>
          <w:b/>
          <w:bCs/>
          <w:sz w:val="28"/>
          <w:szCs w:val="28"/>
          <w:lang w:val="es-MX"/>
        </w:rPr>
      </w:pPr>
    </w:p>
    <w:p w14:paraId="705843CB" w14:textId="35AA7428" w:rsidR="003B6CBB" w:rsidRDefault="003B6CBB" w:rsidP="00D077F6">
      <w:pPr>
        <w:pStyle w:val="Textoindependiente"/>
        <w:ind w:left="102" w:right="103" w:hanging="1"/>
        <w:jc w:val="center"/>
        <w:rPr>
          <w:b/>
          <w:bCs/>
          <w:sz w:val="28"/>
          <w:szCs w:val="28"/>
          <w:lang w:val="es-MX"/>
        </w:rPr>
      </w:pPr>
    </w:p>
    <w:p w14:paraId="6736EDAF" w14:textId="60064A72" w:rsidR="00D077F6" w:rsidRDefault="00D077F6" w:rsidP="00D077F6">
      <w:pPr>
        <w:pStyle w:val="Textoindependiente"/>
        <w:ind w:left="102" w:right="103" w:hanging="1"/>
        <w:jc w:val="center"/>
        <w:rPr>
          <w:b/>
          <w:bCs/>
          <w:sz w:val="28"/>
          <w:szCs w:val="28"/>
          <w:lang w:val="es-MX"/>
        </w:rPr>
      </w:pPr>
    </w:p>
    <w:p w14:paraId="6C62D034" w14:textId="0C19C192" w:rsidR="00AF5027" w:rsidRDefault="00AF5027" w:rsidP="00D077F6">
      <w:pPr>
        <w:pStyle w:val="Textoindependiente"/>
        <w:ind w:left="102" w:right="103" w:hanging="1"/>
        <w:jc w:val="center"/>
        <w:rPr>
          <w:b/>
          <w:bCs/>
          <w:sz w:val="28"/>
          <w:szCs w:val="28"/>
          <w:lang w:val="es-MX"/>
        </w:rPr>
      </w:pPr>
    </w:p>
    <w:p w14:paraId="5323A54D" w14:textId="77777777" w:rsidR="00AF5027" w:rsidRPr="005C556A" w:rsidRDefault="00AF5027" w:rsidP="00D077F6">
      <w:pPr>
        <w:pStyle w:val="Textoindependiente"/>
        <w:ind w:left="102" w:right="103" w:hanging="1"/>
        <w:jc w:val="center"/>
        <w:rPr>
          <w:b/>
          <w:bCs/>
          <w:sz w:val="28"/>
          <w:szCs w:val="28"/>
          <w:lang w:val="es-MX"/>
        </w:rPr>
      </w:pPr>
    </w:p>
    <w:p w14:paraId="478F6E34" w14:textId="3745AE3B" w:rsidR="0095603F" w:rsidRDefault="00BD45D0" w:rsidP="00D077F6">
      <w:pPr>
        <w:pStyle w:val="Textoindependiente"/>
        <w:ind w:left="102" w:right="103" w:hanging="1"/>
        <w:jc w:val="center"/>
        <w:rPr>
          <w:b/>
          <w:bCs/>
          <w:sz w:val="28"/>
          <w:szCs w:val="28"/>
          <w:lang w:val="es-MX"/>
        </w:rPr>
      </w:pPr>
      <w:r>
        <w:rPr>
          <w:b/>
          <w:bCs/>
          <w:sz w:val="28"/>
          <w:szCs w:val="28"/>
          <w:lang w:val="es-MX"/>
        </w:rPr>
        <w:t xml:space="preserve">MINISTRO </w:t>
      </w:r>
      <w:r w:rsidR="0095603F" w:rsidRPr="005C556A">
        <w:rPr>
          <w:b/>
          <w:bCs/>
          <w:sz w:val="28"/>
          <w:szCs w:val="28"/>
          <w:lang w:val="es-MX"/>
        </w:rPr>
        <w:t>PONENTE</w:t>
      </w:r>
    </w:p>
    <w:p w14:paraId="746F5DB2" w14:textId="05E0234C" w:rsidR="00A7289F" w:rsidRDefault="00A7289F" w:rsidP="00D077F6">
      <w:pPr>
        <w:pStyle w:val="Textoindependiente"/>
        <w:ind w:left="0" w:right="103" w:firstLine="0"/>
        <w:rPr>
          <w:b/>
          <w:bCs/>
          <w:sz w:val="28"/>
          <w:szCs w:val="28"/>
          <w:lang w:val="es-MX"/>
        </w:rPr>
      </w:pPr>
    </w:p>
    <w:p w14:paraId="02B6BF41" w14:textId="77777777" w:rsidR="00D077F6" w:rsidRPr="005C556A" w:rsidRDefault="00D077F6" w:rsidP="00D077F6">
      <w:pPr>
        <w:pStyle w:val="Textoindependiente"/>
        <w:ind w:left="0" w:right="103" w:firstLine="0"/>
        <w:rPr>
          <w:b/>
          <w:bCs/>
          <w:sz w:val="28"/>
          <w:szCs w:val="28"/>
          <w:lang w:val="es-MX"/>
        </w:rPr>
      </w:pPr>
    </w:p>
    <w:p w14:paraId="68898513" w14:textId="0C5DEA2B" w:rsidR="0095603F" w:rsidRPr="005C556A" w:rsidRDefault="0095603F" w:rsidP="00D077F6">
      <w:pPr>
        <w:pStyle w:val="Textoindependiente"/>
        <w:ind w:left="102" w:right="103" w:hanging="1"/>
        <w:jc w:val="center"/>
        <w:rPr>
          <w:b/>
          <w:bCs/>
          <w:sz w:val="28"/>
          <w:szCs w:val="28"/>
          <w:lang w:val="es-MX"/>
        </w:rPr>
      </w:pPr>
      <w:r w:rsidRPr="005C556A">
        <w:rPr>
          <w:b/>
          <w:bCs/>
          <w:sz w:val="28"/>
          <w:szCs w:val="28"/>
          <w:lang w:val="es-MX"/>
        </w:rPr>
        <w:t>JAVIER LAYNEZ POTISEK</w:t>
      </w:r>
    </w:p>
    <w:p w14:paraId="6040804D" w14:textId="41493388" w:rsidR="0095603F" w:rsidRDefault="0095603F" w:rsidP="00D077F6">
      <w:pPr>
        <w:pStyle w:val="Textoindependiente"/>
        <w:ind w:left="0" w:right="103" w:firstLine="0"/>
        <w:rPr>
          <w:b/>
          <w:bCs/>
          <w:sz w:val="28"/>
          <w:szCs w:val="28"/>
          <w:lang w:val="es-MX"/>
        </w:rPr>
      </w:pPr>
    </w:p>
    <w:p w14:paraId="304AC3E5" w14:textId="77777777" w:rsidR="00D077F6" w:rsidRDefault="00D077F6" w:rsidP="00D077F6">
      <w:pPr>
        <w:pStyle w:val="Textoindependiente"/>
        <w:ind w:left="0" w:right="103" w:firstLine="0"/>
        <w:rPr>
          <w:b/>
          <w:bCs/>
          <w:sz w:val="28"/>
          <w:szCs w:val="28"/>
          <w:lang w:val="es-MX"/>
        </w:rPr>
      </w:pPr>
    </w:p>
    <w:p w14:paraId="47DBF32E" w14:textId="25DA3E19" w:rsidR="003B6CBB" w:rsidRDefault="003B6CBB" w:rsidP="00D077F6">
      <w:pPr>
        <w:pStyle w:val="Textoindependiente"/>
        <w:ind w:left="0" w:right="103" w:firstLine="0"/>
        <w:rPr>
          <w:b/>
          <w:bCs/>
          <w:sz w:val="28"/>
          <w:szCs w:val="28"/>
          <w:lang w:val="es-MX"/>
        </w:rPr>
      </w:pPr>
    </w:p>
    <w:p w14:paraId="408D0B71" w14:textId="7DFCB707" w:rsidR="00AF5027" w:rsidRDefault="00AF5027" w:rsidP="00D077F6">
      <w:pPr>
        <w:pStyle w:val="Textoindependiente"/>
        <w:ind w:left="0" w:right="103" w:firstLine="0"/>
        <w:rPr>
          <w:b/>
          <w:bCs/>
          <w:sz w:val="28"/>
          <w:szCs w:val="28"/>
          <w:lang w:val="es-MX"/>
        </w:rPr>
      </w:pPr>
    </w:p>
    <w:p w14:paraId="63068499" w14:textId="77777777" w:rsidR="00AF5027" w:rsidRDefault="00AF5027" w:rsidP="00D077F6">
      <w:pPr>
        <w:pStyle w:val="Textoindependiente"/>
        <w:ind w:left="0" w:right="103" w:firstLine="0"/>
        <w:rPr>
          <w:b/>
          <w:bCs/>
          <w:sz w:val="28"/>
          <w:szCs w:val="28"/>
          <w:lang w:val="es-MX"/>
        </w:rPr>
      </w:pPr>
    </w:p>
    <w:p w14:paraId="0B69AC5C" w14:textId="525EE621" w:rsidR="0095603F" w:rsidRPr="005C556A" w:rsidRDefault="0095603F" w:rsidP="00D077F6">
      <w:pPr>
        <w:pStyle w:val="Textoindependiente"/>
        <w:ind w:left="102" w:right="103" w:hanging="1"/>
        <w:jc w:val="center"/>
        <w:rPr>
          <w:b/>
          <w:bCs/>
          <w:sz w:val="28"/>
          <w:szCs w:val="28"/>
          <w:lang w:val="es-MX"/>
        </w:rPr>
      </w:pPr>
      <w:r w:rsidRPr="005C556A">
        <w:rPr>
          <w:b/>
          <w:bCs/>
          <w:sz w:val="28"/>
          <w:szCs w:val="28"/>
          <w:lang w:val="es-MX"/>
        </w:rPr>
        <w:t xml:space="preserve">SECRETARIO </w:t>
      </w:r>
      <w:r w:rsidR="003B6CBB">
        <w:rPr>
          <w:b/>
          <w:bCs/>
          <w:sz w:val="28"/>
          <w:szCs w:val="28"/>
          <w:lang w:val="es-MX"/>
        </w:rPr>
        <w:t xml:space="preserve">GENERAL </w:t>
      </w:r>
      <w:r w:rsidRPr="005C556A">
        <w:rPr>
          <w:b/>
          <w:bCs/>
          <w:sz w:val="28"/>
          <w:szCs w:val="28"/>
          <w:lang w:val="es-MX"/>
        </w:rPr>
        <w:t>DE ACUERDOS</w:t>
      </w:r>
    </w:p>
    <w:p w14:paraId="58B26065" w14:textId="3F49F9B7" w:rsidR="0095603F" w:rsidRDefault="0095603F" w:rsidP="00D077F6">
      <w:pPr>
        <w:pStyle w:val="Textoindependiente"/>
        <w:ind w:left="102" w:right="103" w:hanging="1"/>
        <w:jc w:val="center"/>
        <w:rPr>
          <w:b/>
          <w:bCs/>
          <w:sz w:val="28"/>
          <w:szCs w:val="28"/>
          <w:lang w:val="es-MX"/>
        </w:rPr>
      </w:pPr>
    </w:p>
    <w:p w14:paraId="13FDACF0" w14:textId="77777777" w:rsidR="00D077F6" w:rsidRPr="005C556A" w:rsidRDefault="00D077F6" w:rsidP="00D077F6">
      <w:pPr>
        <w:pStyle w:val="Textoindependiente"/>
        <w:ind w:left="102" w:right="103" w:hanging="1"/>
        <w:jc w:val="center"/>
        <w:rPr>
          <w:b/>
          <w:bCs/>
          <w:sz w:val="28"/>
          <w:szCs w:val="28"/>
          <w:lang w:val="es-MX"/>
        </w:rPr>
      </w:pPr>
    </w:p>
    <w:p w14:paraId="1F897DFE" w14:textId="557F3696" w:rsidR="004135E2" w:rsidRPr="005C556A" w:rsidRDefault="0095603F" w:rsidP="00D077F6">
      <w:pPr>
        <w:pStyle w:val="Textoindependiente"/>
        <w:ind w:left="102" w:right="103" w:hanging="1"/>
        <w:jc w:val="center"/>
        <w:rPr>
          <w:b/>
          <w:sz w:val="28"/>
          <w:szCs w:val="28"/>
          <w:lang w:val="es-MX"/>
        </w:rPr>
      </w:pPr>
      <w:r w:rsidRPr="005C556A">
        <w:rPr>
          <w:b/>
          <w:bCs/>
          <w:sz w:val="28"/>
          <w:szCs w:val="28"/>
          <w:lang w:val="es-MX"/>
        </w:rPr>
        <w:t>RAFAEL COELLO CETINA</w:t>
      </w:r>
    </w:p>
    <w:sectPr w:rsidR="004135E2" w:rsidRPr="005C556A" w:rsidSect="003B6CBB">
      <w:headerReference w:type="default" r:id="rId14"/>
      <w:footerReference w:type="default" r:id="rId15"/>
      <w:pgSz w:w="12240" w:h="18720" w:code="14"/>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5B1B" w14:textId="77777777" w:rsidR="00C732AF" w:rsidRDefault="00C732AF" w:rsidP="00F15FD9">
      <w:pPr>
        <w:spacing w:before="0" w:after="0" w:line="240" w:lineRule="auto"/>
      </w:pPr>
      <w:r>
        <w:separator/>
      </w:r>
    </w:p>
  </w:endnote>
  <w:endnote w:type="continuationSeparator" w:id="0">
    <w:p w14:paraId="1E487928" w14:textId="77777777" w:rsidR="00C732AF" w:rsidRDefault="00C732AF"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Content>
      <w:p w14:paraId="5DBFE5B2" w14:textId="77777777" w:rsidR="00050A5C" w:rsidRDefault="00050A5C" w:rsidP="00817C50">
        <w:pPr>
          <w:pStyle w:val="Piedepgina"/>
          <w:tabs>
            <w:tab w:val="clear" w:pos="4419"/>
            <w:tab w:val="clear" w:pos="8838"/>
            <w:tab w:val="center" w:pos="4252"/>
            <w:tab w:val="right" w:pos="8504"/>
          </w:tabs>
          <w:jc w:val="center"/>
          <w:rPr>
            <w:rFonts w:eastAsia="Times New Roman"/>
            <w:noProof/>
            <w:lang w:val="es-ES_tradnl" w:eastAsia="x-none"/>
          </w:rPr>
        </w:pPr>
      </w:p>
      <w:p w14:paraId="25DBC91D" w14:textId="77777777" w:rsidR="0046524E" w:rsidRPr="00690FE0" w:rsidRDefault="00D13E08" w:rsidP="00817C50">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44</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AA27" w14:textId="77777777" w:rsidR="00C732AF" w:rsidRDefault="00C732AF" w:rsidP="00F15FD9">
      <w:pPr>
        <w:spacing w:before="0" w:after="0" w:line="240" w:lineRule="auto"/>
      </w:pPr>
      <w:r>
        <w:separator/>
      </w:r>
    </w:p>
  </w:footnote>
  <w:footnote w:type="continuationSeparator" w:id="0">
    <w:p w14:paraId="269A36DA" w14:textId="77777777" w:rsidR="00C732AF" w:rsidRDefault="00C732AF" w:rsidP="00F15FD9">
      <w:pPr>
        <w:spacing w:before="0" w:after="0" w:line="240" w:lineRule="auto"/>
      </w:pPr>
      <w:r>
        <w:continuationSeparator/>
      </w:r>
    </w:p>
  </w:footnote>
  <w:footnote w:id="1">
    <w:p w14:paraId="4CAF77AF" w14:textId="77777777" w:rsidR="00BA2321" w:rsidRPr="00200B92" w:rsidRDefault="00BA2321" w:rsidP="00BA2321">
      <w:pPr>
        <w:pStyle w:val="Textonotapie"/>
        <w:jc w:val="both"/>
        <w:rPr>
          <w:rFonts w:ascii="Arial" w:hAnsi="Arial" w:cs="Arial"/>
        </w:rPr>
      </w:pPr>
      <w:r w:rsidRPr="00200B92">
        <w:rPr>
          <w:rStyle w:val="Refdenotaalpie"/>
          <w:rFonts w:ascii="Arial" w:hAnsi="Arial" w:cs="Arial"/>
        </w:rPr>
        <w:footnoteRef/>
      </w:r>
      <w:r w:rsidRPr="00200B92">
        <w:rPr>
          <w:rFonts w:ascii="Arial" w:hAnsi="Arial" w:cs="Arial"/>
        </w:rPr>
        <w:t xml:space="preserve"> </w:t>
      </w:r>
      <w:r w:rsidRPr="009E2E05">
        <w:rPr>
          <w:rFonts w:ascii="Arial" w:hAnsi="Arial" w:cs="Arial"/>
        </w:rPr>
        <w:t xml:space="preserve">Véase el expediente electrónico de la </w:t>
      </w:r>
      <w:r>
        <w:rPr>
          <w:rFonts w:ascii="Arial" w:hAnsi="Arial" w:cs="Arial"/>
        </w:rPr>
        <w:t>acción de inconstitucionalidad</w:t>
      </w:r>
      <w:r w:rsidRPr="009E2E05">
        <w:rPr>
          <w:rFonts w:ascii="Arial" w:hAnsi="Arial" w:cs="Arial"/>
        </w:rPr>
        <w:t xml:space="preserve"> </w:t>
      </w:r>
      <w:r>
        <w:rPr>
          <w:rFonts w:ascii="Arial" w:hAnsi="Arial" w:cs="Arial"/>
        </w:rPr>
        <w:t>152</w:t>
      </w:r>
      <w:r w:rsidRPr="009E2E05">
        <w:rPr>
          <w:rFonts w:ascii="Arial" w:hAnsi="Arial" w:cs="Arial"/>
        </w:rPr>
        <w:t>/202</w:t>
      </w:r>
      <w:r>
        <w:rPr>
          <w:rFonts w:ascii="Arial" w:hAnsi="Arial" w:cs="Arial"/>
        </w:rPr>
        <w:t>1</w:t>
      </w:r>
      <w:r w:rsidRPr="009E2E05">
        <w:rPr>
          <w:rFonts w:ascii="Arial" w:hAnsi="Arial" w:cs="Arial"/>
        </w:rPr>
        <w:t>, escrito inicial de demanda.</w:t>
      </w:r>
    </w:p>
  </w:footnote>
  <w:footnote w:id="2">
    <w:p w14:paraId="16C4906F" w14:textId="77777777" w:rsidR="005C6371" w:rsidRPr="008E1237" w:rsidRDefault="005C6371" w:rsidP="005C6371">
      <w:pPr>
        <w:pStyle w:val="Textonotapie"/>
        <w:jc w:val="both"/>
        <w:rPr>
          <w:rFonts w:ascii="Arial" w:hAnsi="Arial" w:cs="Arial"/>
          <w:highlight w:val="cyan"/>
        </w:rPr>
      </w:pPr>
      <w:r w:rsidRPr="008E1237">
        <w:rPr>
          <w:rStyle w:val="Refdenotaalpie"/>
          <w:rFonts w:ascii="Arial" w:hAnsi="Arial" w:cs="Arial"/>
        </w:rPr>
        <w:footnoteRef/>
      </w:r>
      <w:r w:rsidRPr="008E1237">
        <w:rPr>
          <w:rFonts w:ascii="Arial" w:hAnsi="Arial" w:cs="Arial"/>
        </w:rPr>
        <w:t xml:space="preserve"> Véase </w:t>
      </w:r>
      <w:r w:rsidRPr="00565DE0">
        <w:rPr>
          <w:rFonts w:ascii="Arial" w:hAnsi="Arial" w:cs="Arial"/>
          <w:i/>
          <w:iCs/>
        </w:rPr>
        <w:t>ibíd.,</w:t>
      </w:r>
      <w:r w:rsidRPr="008E1237">
        <w:rPr>
          <w:rFonts w:ascii="Arial" w:hAnsi="Arial" w:cs="Arial"/>
        </w:rPr>
        <w:t xml:space="preserve"> auto de </w:t>
      </w:r>
      <w:r w:rsidRPr="008E1237">
        <w:rPr>
          <w:rFonts w:ascii="Arial" w:eastAsia="Times New Roman" w:hAnsi="Arial" w:cs="Arial"/>
          <w:lang w:eastAsia="es-MX"/>
        </w:rPr>
        <w:t>veintiuno de octubre de dos mil veintiuno.</w:t>
      </w:r>
    </w:p>
  </w:footnote>
  <w:footnote w:id="3">
    <w:p w14:paraId="0DE5AA60" w14:textId="77777777" w:rsidR="005C6371" w:rsidRPr="008E1237" w:rsidRDefault="005C6371" w:rsidP="005C6371">
      <w:pPr>
        <w:pStyle w:val="Textonotapie"/>
        <w:jc w:val="both"/>
        <w:rPr>
          <w:rFonts w:ascii="Arial" w:hAnsi="Arial" w:cs="Arial"/>
          <w:highlight w:val="cyan"/>
        </w:rPr>
      </w:pPr>
      <w:r w:rsidRPr="008E1237">
        <w:rPr>
          <w:rStyle w:val="Refdenotaalpie"/>
          <w:rFonts w:ascii="Arial" w:hAnsi="Arial" w:cs="Arial"/>
        </w:rPr>
        <w:footnoteRef/>
      </w:r>
      <w:r w:rsidRPr="008E1237">
        <w:rPr>
          <w:rFonts w:ascii="Arial" w:hAnsi="Arial" w:cs="Arial"/>
        </w:rPr>
        <w:t xml:space="preserve"> Véase</w:t>
      </w:r>
      <w:r>
        <w:rPr>
          <w:rFonts w:ascii="Arial" w:hAnsi="Arial" w:cs="Arial"/>
        </w:rPr>
        <w:t xml:space="preserve"> </w:t>
      </w:r>
      <w:r w:rsidRPr="00565DE0">
        <w:rPr>
          <w:rFonts w:ascii="Arial" w:hAnsi="Arial" w:cs="Arial"/>
          <w:i/>
          <w:iCs/>
        </w:rPr>
        <w:t>ibíd.,</w:t>
      </w:r>
      <w:r w:rsidRPr="008E1237">
        <w:rPr>
          <w:rFonts w:ascii="Arial" w:hAnsi="Arial" w:cs="Arial"/>
        </w:rPr>
        <w:t xml:space="preserve"> auto de veintiocho de octubre de dos mil veintiuno.</w:t>
      </w:r>
    </w:p>
  </w:footnote>
  <w:footnote w:id="4">
    <w:p w14:paraId="30D62317" w14:textId="77777777" w:rsidR="00A86583" w:rsidRPr="00200B92" w:rsidRDefault="00A86583" w:rsidP="00A86583">
      <w:pPr>
        <w:pStyle w:val="Textonotapie"/>
        <w:jc w:val="both"/>
        <w:rPr>
          <w:rFonts w:ascii="Arial" w:hAnsi="Arial" w:cs="Arial"/>
          <w:highlight w:val="cyan"/>
        </w:rPr>
      </w:pPr>
      <w:r w:rsidRPr="00972D9E">
        <w:rPr>
          <w:rStyle w:val="Refdenotaalpie"/>
          <w:rFonts w:ascii="Arial" w:hAnsi="Arial" w:cs="Arial"/>
        </w:rPr>
        <w:footnoteRef/>
      </w:r>
      <w:r w:rsidRPr="00972D9E">
        <w:rPr>
          <w:rFonts w:ascii="Arial" w:hAnsi="Arial" w:cs="Arial"/>
        </w:rPr>
        <w:t xml:space="preserve"> </w:t>
      </w:r>
      <w:r>
        <w:rPr>
          <w:rFonts w:ascii="Arial" w:hAnsi="Arial" w:cs="Arial"/>
        </w:rPr>
        <w:t xml:space="preserve">Véase </w:t>
      </w:r>
      <w:r w:rsidRPr="00191B28">
        <w:rPr>
          <w:rFonts w:ascii="Arial" w:hAnsi="Arial" w:cs="Arial"/>
          <w:i/>
        </w:rPr>
        <w:t>ibíd.,</w:t>
      </w:r>
      <w:r w:rsidRPr="00200B92">
        <w:rPr>
          <w:rFonts w:ascii="Arial" w:hAnsi="Arial" w:cs="Arial"/>
        </w:rPr>
        <w:t xml:space="preserve"> </w:t>
      </w:r>
      <w:r w:rsidRPr="009E2E05">
        <w:rPr>
          <w:rFonts w:ascii="Arial" w:hAnsi="Arial" w:cs="Arial"/>
        </w:rPr>
        <w:t xml:space="preserve">escrito </w:t>
      </w:r>
      <w:r>
        <w:rPr>
          <w:rFonts w:ascii="Arial" w:hAnsi="Arial" w:cs="Arial"/>
        </w:rPr>
        <w:t>de opinión de la Sala Superior del Tribunal Electoral del Poder Judicial de la Federación</w:t>
      </w:r>
      <w:r w:rsidRPr="009E2E05">
        <w:rPr>
          <w:rFonts w:ascii="Arial" w:hAnsi="Arial" w:cs="Arial"/>
        </w:rPr>
        <w:t>.</w:t>
      </w:r>
    </w:p>
  </w:footnote>
  <w:footnote w:id="5">
    <w:p w14:paraId="2CF06A4E" w14:textId="77777777" w:rsidR="00A86583" w:rsidRPr="004438C8" w:rsidRDefault="00A86583" w:rsidP="00A86583">
      <w:pPr>
        <w:pStyle w:val="Textonotapie"/>
        <w:jc w:val="both"/>
        <w:rPr>
          <w:rFonts w:ascii="Arial" w:hAnsi="Arial" w:cs="Arial"/>
        </w:rPr>
      </w:pPr>
      <w:r w:rsidRPr="00972D9E">
        <w:rPr>
          <w:rStyle w:val="Refdenotaalpie"/>
          <w:rFonts w:ascii="Arial" w:hAnsi="Arial" w:cs="Arial"/>
        </w:rPr>
        <w:footnoteRef/>
      </w:r>
      <w:r w:rsidRPr="00972D9E">
        <w:rPr>
          <w:rFonts w:ascii="Arial" w:hAnsi="Arial" w:cs="Arial"/>
        </w:rPr>
        <w:t xml:space="preserve"> </w:t>
      </w:r>
      <w:r>
        <w:rPr>
          <w:rFonts w:ascii="Arial" w:hAnsi="Arial" w:cs="Arial"/>
        </w:rPr>
        <w:t xml:space="preserve">Véase </w:t>
      </w:r>
      <w:r w:rsidRPr="00191B28">
        <w:rPr>
          <w:rFonts w:ascii="Arial" w:hAnsi="Arial" w:cs="Arial"/>
          <w:i/>
        </w:rPr>
        <w:t>ibíd.,</w:t>
      </w:r>
      <w:r w:rsidRPr="00200B92">
        <w:rPr>
          <w:rFonts w:ascii="Arial" w:hAnsi="Arial" w:cs="Arial"/>
        </w:rPr>
        <w:t xml:space="preserve"> </w:t>
      </w:r>
      <w:r>
        <w:rPr>
          <w:rFonts w:ascii="Arial" w:hAnsi="Arial" w:cs="Arial"/>
        </w:rPr>
        <w:t xml:space="preserve">informe del Congreso del Estado de Oaxaca y sus anexos. </w:t>
      </w:r>
    </w:p>
  </w:footnote>
  <w:footnote w:id="6">
    <w:p w14:paraId="787C9CD3" w14:textId="77777777" w:rsidR="00E54577" w:rsidRPr="00200B92" w:rsidRDefault="00E54577" w:rsidP="00E54577">
      <w:pPr>
        <w:pStyle w:val="Textonotapie"/>
        <w:jc w:val="both"/>
        <w:rPr>
          <w:rFonts w:ascii="Arial" w:hAnsi="Arial" w:cs="Arial"/>
          <w:highlight w:val="cyan"/>
        </w:rPr>
      </w:pPr>
      <w:r w:rsidRPr="008E1237">
        <w:rPr>
          <w:rStyle w:val="Refdenotaalpie"/>
          <w:rFonts w:ascii="Arial" w:hAnsi="Arial" w:cs="Arial"/>
        </w:rPr>
        <w:footnoteRef/>
      </w:r>
      <w:r w:rsidRPr="008E1237">
        <w:rPr>
          <w:rFonts w:ascii="Arial" w:hAnsi="Arial" w:cs="Arial"/>
        </w:rPr>
        <w:t xml:space="preserve"> Véase ibíd., </w:t>
      </w:r>
      <w:r>
        <w:rPr>
          <w:rFonts w:ascii="Arial" w:hAnsi="Arial" w:cs="Arial"/>
        </w:rPr>
        <w:t xml:space="preserve">informe del </w:t>
      </w:r>
      <w:r w:rsidRPr="001A4030">
        <w:rPr>
          <w:rFonts w:ascii="Arial" w:eastAsia="Times New Roman" w:hAnsi="Arial" w:cs="Arial"/>
          <w:lang w:eastAsia="es-MX"/>
        </w:rPr>
        <w:t>Instituto Estatal Electoral y de Participación Ciudadana de Oaxaca</w:t>
      </w:r>
      <w:r w:rsidRPr="001A4030">
        <w:rPr>
          <w:rFonts w:ascii="Arial" w:hAnsi="Arial" w:cs="Arial"/>
        </w:rPr>
        <w:t>.</w:t>
      </w:r>
    </w:p>
  </w:footnote>
  <w:footnote w:id="7">
    <w:p w14:paraId="76468D32" w14:textId="77777777" w:rsidR="00A86583" w:rsidRPr="00200B92" w:rsidRDefault="00A86583" w:rsidP="00A86583">
      <w:pPr>
        <w:pStyle w:val="Textonotapie"/>
        <w:jc w:val="both"/>
        <w:rPr>
          <w:rFonts w:ascii="Arial" w:hAnsi="Arial" w:cs="Arial"/>
          <w:highlight w:val="cyan"/>
        </w:rPr>
      </w:pPr>
      <w:r w:rsidRPr="00972D9E">
        <w:rPr>
          <w:rStyle w:val="Refdenotaalpie"/>
          <w:rFonts w:ascii="Arial" w:hAnsi="Arial" w:cs="Arial"/>
        </w:rPr>
        <w:footnoteRef/>
      </w:r>
      <w:r w:rsidRPr="00972D9E">
        <w:rPr>
          <w:rFonts w:ascii="Arial" w:hAnsi="Arial" w:cs="Arial"/>
        </w:rPr>
        <w:t xml:space="preserve"> </w:t>
      </w:r>
      <w:r>
        <w:rPr>
          <w:rFonts w:ascii="Arial" w:hAnsi="Arial" w:cs="Arial"/>
        </w:rPr>
        <w:t xml:space="preserve">Véase </w:t>
      </w:r>
      <w:r w:rsidRPr="00191B28">
        <w:rPr>
          <w:rFonts w:ascii="Arial" w:hAnsi="Arial" w:cs="Arial"/>
          <w:i/>
        </w:rPr>
        <w:t>ibíd.,</w:t>
      </w:r>
      <w:r w:rsidRPr="00200B92">
        <w:rPr>
          <w:rFonts w:ascii="Arial" w:hAnsi="Arial" w:cs="Arial"/>
        </w:rPr>
        <w:t xml:space="preserve"> </w:t>
      </w:r>
      <w:r>
        <w:rPr>
          <w:rFonts w:ascii="Arial" w:hAnsi="Arial" w:cs="Arial"/>
        </w:rPr>
        <w:t>informe del Poder Ejecutivo del Estado de Oaxaca y sus anexos.</w:t>
      </w:r>
    </w:p>
  </w:footnote>
  <w:footnote w:id="8">
    <w:p w14:paraId="7FF69E98" w14:textId="77777777" w:rsidR="00A86583" w:rsidRPr="004438C8" w:rsidRDefault="00A86583" w:rsidP="00A86583">
      <w:pPr>
        <w:pStyle w:val="Textonotapie"/>
        <w:jc w:val="both"/>
        <w:rPr>
          <w:rFonts w:ascii="Arial" w:hAnsi="Arial" w:cs="Arial"/>
        </w:rPr>
      </w:pPr>
      <w:r w:rsidRPr="004438C8">
        <w:rPr>
          <w:rStyle w:val="Refdenotaalpie"/>
          <w:rFonts w:ascii="Arial" w:hAnsi="Arial" w:cs="Arial"/>
        </w:rPr>
        <w:footnoteRef/>
      </w:r>
      <w:r w:rsidRPr="004438C8">
        <w:rPr>
          <w:rFonts w:ascii="Arial" w:hAnsi="Arial" w:cs="Arial"/>
        </w:rPr>
        <w:t xml:space="preserve"> Véase </w:t>
      </w:r>
      <w:r w:rsidRPr="004438C8">
        <w:rPr>
          <w:rFonts w:ascii="Arial" w:hAnsi="Arial" w:cs="Arial"/>
          <w:i/>
        </w:rPr>
        <w:t>ibíd.,</w:t>
      </w:r>
      <w:r w:rsidRPr="004438C8">
        <w:rPr>
          <w:rFonts w:ascii="Arial" w:hAnsi="Arial" w:cs="Arial"/>
        </w:rPr>
        <w:t xml:space="preserve"> </w:t>
      </w:r>
      <w:r w:rsidRPr="008E1237">
        <w:rPr>
          <w:rFonts w:ascii="Arial" w:hAnsi="Arial" w:cs="Arial"/>
        </w:rPr>
        <w:t xml:space="preserve">auto de </w:t>
      </w:r>
      <w:r>
        <w:rPr>
          <w:rFonts w:ascii="Arial" w:eastAsia="Times New Roman" w:hAnsi="Arial" w:cs="Arial"/>
          <w:lang w:eastAsia="es-MX"/>
        </w:rPr>
        <w:t>quince de diciembre</w:t>
      </w:r>
      <w:r w:rsidRPr="008E1237">
        <w:rPr>
          <w:rFonts w:ascii="Arial" w:eastAsia="Times New Roman" w:hAnsi="Arial" w:cs="Arial"/>
          <w:lang w:eastAsia="es-MX"/>
        </w:rPr>
        <w:t xml:space="preserve"> de dos mil veintiuno.</w:t>
      </w:r>
    </w:p>
  </w:footnote>
  <w:footnote w:id="9">
    <w:p w14:paraId="3ACD1E01" w14:textId="6F7F35D7" w:rsidR="00A86583" w:rsidRPr="004438C8" w:rsidRDefault="00A86583" w:rsidP="00A86583">
      <w:pPr>
        <w:pStyle w:val="Textonotapie"/>
        <w:jc w:val="both"/>
        <w:rPr>
          <w:rFonts w:ascii="Arial" w:hAnsi="Arial" w:cs="Arial"/>
        </w:rPr>
      </w:pPr>
      <w:r w:rsidRPr="004438C8">
        <w:rPr>
          <w:rStyle w:val="Refdenotaalpie"/>
          <w:rFonts w:ascii="Arial" w:hAnsi="Arial" w:cs="Arial"/>
        </w:rPr>
        <w:footnoteRef/>
      </w:r>
      <w:r w:rsidRPr="004438C8">
        <w:rPr>
          <w:rFonts w:ascii="Arial" w:hAnsi="Arial" w:cs="Arial"/>
        </w:rPr>
        <w:t xml:space="preserve"> Véase </w:t>
      </w:r>
      <w:r w:rsidRPr="004438C8">
        <w:rPr>
          <w:rFonts w:ascii="Arial" w:hAnsi="Arial" w:cs="Arial"/>
          <w:i/>
        </w:rPr>
        <w:t>ibíd.,</w:t>
      </w:r>
      <w:r w:rsidRPr="004438C8">
        <w:rPr>
          <w:rFonts w:ascii="Arial" w:hAnsi="Arial" w:cs="Arial"/>
        </w:rPr>
        <w:t xml:space="preserve"> </w:t>
      </w:r>
      <w:r w:rsidRPr="008E1237">
        <w:rPr>
          <w:rFonts w:ascii="Arial" w:hAnsi="Arial" w:cs="Arial"/>
        </w:rPr>
        <w:t xml:space="preserve">auto de </w:t>
      </w:r>
      <w:r w:rsidRPr="003D6761">
        <w:rPr>
          <w:rFonts w:ascii="Arial" w:eastAsia="Times New Roman" w:hAnsi="Arial" w:cs="Arial"/>
          <w:lang w:eastAsia="es-MX"/>
        </w:rPr>
        <w:t>veinti</w:t>
      </w:r>
      <w:r w:rsidR="00DB1977" w:rsidRPr="003D6761">
        <w:rPr>
          <w:rFonts w:ascii="Arial" w:eastAsia="Times New Roman" w:hAnsi="Arial" w:cs="Arial"/>
          <w:lang w:eastAsia="es-MX"/>
        </w:rPr>
        <w:t>siete</w:t>
      </w:r>
      <w:r w:rsidRPr="008E1237">
        <w:rPr>
          <w:rFonts w:ascii="Arial" w:eastAsia="Times New Roman" w:hAnsi="Arial" w:cs="Arial"/>
          <w:lang w:eastAsia="es-MX"/>
        </w:rPr>
        <w:t xml:space="preserve"> de </w:t>
      </w:r>
      <w:r>
        <w:rPr>
          <w:rFonts w:ascii="Arial" w:eastAsia="Times New Roman" w:hAnsi="Arial" w:cs="Arial"/>
          <w:lang w:eastAsia="es-MX"/>
        </w:rPr>
        <w:t>enero</w:t>
      </w:r>
      <w:r w:rsidRPr="008E1237">
        <w:rPr>
          <w:rFonts w:ascii="Arial" w:eastAsia="Times New Roman" w:hAnsi="Arial" w:cs="Arial"/>
          <w:lang w:eastAsia="es-MX"/>
        </w:rPr>
        <w:t xml:space="preserve"> de dos mil </w:t>
      </w:r>
      <w:r>
        <w:rPr>
          <w:rFonts w:ascii="Arial" w:eastAsia="Times New Roman" w:hAnsi="Arial" w:cs="Arial"/>
          <w:lang w:eastAsia="es-MX"/>
        </w:rPr>
        <w:t>veintidós.</w:t>
      </w:r>
    </w:p>
  </w:footnote>
  <w:footnote w:id="10">
    <w:p w14:paraId="280D5D28" w14:textId="77777777" w:rsidR="001D4DB0" w:rsidRPr="00200B92" w:rsidRDefault="001D4DB0" w:rsidP="001D4DB0">
      <w:pPr>
        <w:pStyle w:val="Textonotapie"/>
        <w:jc w:val="both"/>
        <w:rPr>
          <w:rFonts w:ascii="Arial" w:hAnsi="Arial" w:cs="Arial"/>
        </w:rPr>
      </w:pPr>
      <w:r w:rsidRPr="00200B92">
        <w:rPr>
          <w:rStyle w:val="Refdenotaalpie"/>
          <w:rFonts w:ascii="Arial" w:hAnsi="Arial" w:cs="Arial"/>
        </w:rPr>
        <w:footnoteRef/>
      </w:r>
      <w:r w:rsidRPr="00200B92">
        <w:rPr>
          <w:rFonts w:ascii="Arial" w:hAnsi="Arial" w:cs="Arial"/>
        </w:rPr>
        <w:t xml:space="preserve"> </w:t>
      </w:r>
      <w:r w:rsidRPr="00200B92">
        <w:rPr>
          <w:rFonts w:ascii="Arial" w:hAnsi="Arial" w:cs="Arial"/>
          <w:b/>
        </w:rPr>
        <w:t>Artículo 105</w:t>
      </w:r>
      <w:r>
        <w:rPr>
          <w:rFonts w:ascii="Arial" w:hAnsi="Arial" w:cs="Arial"/>
          <w:b/>
        </w:rPr>
        <w:t>.</w:t>
      </w:r>
      <w:r w:rsidRPr="00200B92">
        <w:rPr>
          <w:rFonts w:ascii="Arial" w:hAnsi="Arial" w:cs="Arial"/>
          <w:b/>
        </w:rPr>
        <w:t xml:space="preserve"> </w:t>
      </w:r>
      <w:r w:rsidRPr="00200B92">
        <w:rPr>
          <w:rFonts w:ascii="Arial" w:hAnsi="Arial" w:cs="Arial"/>
        </w:rPr>
        <w:t>La Suprema Corte de Justicia de la Nación conocerá, en los términos que señale la ley reglamentaria</w:t>
      </w:r>
      <w:r>
        <w:rPr>
          <w:rFonts w:ascii="Arial" w:hAnsi="Arial" w:cs="Arial"/>
        </w:rPr>
        <w:t>, de los asuntos siguientes: […]</w:t>
      </w:r>
    </w:p>
    <w:p w14:paraId="23BB9FBA" w14:textId="77777777" w:rsidR="001D4DB0" w:rsidRPr="00200B92" w:rsidRDefault="001D4DB0" w:rsidP="001D4DB0">
      <w:pPr>
        <w:pStyle w:val="Textonotapie"/>
        <w:jc w:val="both"/>
        <w:rPr>
          <w:rFonts w:ascii="Arial" w:hAnsi="Arial" w:cs="Arial"/>
        </w:rPr>
      </w:pPr>
      <w:r w:rsidRPr="00200B92">
        <w:rPr>
          <w:rFonts w:ascii="Arial" w:hAnsi="Arial" w:cs="Arial"/>
        </w:rPr>
        <w:t>II. De las acciones de inconstitucionalidad que tengan por objeto plantear la posible contradicción entre una norma de carácter general y esta Constitución.</w:t>
      </w:r>
    </w:p>
    <w:p w14:paraId="6FEB6507" w14:textId="77777777" w:rsidR="001D4DB0" w:rsidRPr="00200B92" w:rsidRDefault="001D4DB0" w:rsidP="001D4DB0">
      <w:pPr>
        <w:pStyle w:val="Textonotapie"/>
        <w:jc w:val="both"/>
        <w:rPr>
          <w:rFonts w:ascii="Arial" w:hAnsi="Arial" w:cs="Arial"/>
        </w:rPr>
      </w:pPr>
      <w:r w:rsidRPr="00200B92">
        <w:rPr>
          <w:rFonts w:ascii="Arial" w:hAnsi="Arial" w:cs="Arial"/>
        </w:rPr>
        <w:t>Las acciones de inconstitucionalidad podrán ejercitarse, dentro de los treinta días naturales siguientes a la fecha de</w:t>
      </w:r>
      <w:r>
        <w:rPr>
          <w:rFonts w:ascii="Arial" w:hAnsi="Arial" w:cs="Arial"/>
        </w:rPr>
        <w:t xml:space="preserve"> publicación de la norma, por: […]</w:t>
      </w:r>
    </w:p>
    <w:p w14:paraId="348FC22B" w14:textId="77777777" w:rsidR="001D4DB0" w:rsidRDefault="001D4DB0" w:rsidP="001D4DB0">
      <w:pPr>
        <w:pStyle w:val="Estilo"/>
        <w:rPr>
          <w:sz w:val="20"/>
          <w:szCs w:val="20"/>
        </w:rPr>
      </w:pPr>
      <w:r w:rsidRPr="00200B92">
        <w:rPr>
          <w:sz w:val="20"/>
          <w:szCs w:val="20"/>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0A18B295" w14:textId="77777777" w:rsidR="001D4DB0" w:rsidRPr="008D10D8" w:rsidRDefault="001D4DB0" w:rsidP="001D4DB0">
      <w:pPr>
        <w:pStyle w:val="Estilo"/>
        <w:rPr>
          <w:sz w:val="20"/>
          <w:szCs w:val="20"/>
        </w:rPr>
      </w:pPr>
      <w:r>
        <w:rPr>
          <w:rFonts w:cs="Arial"/>
          <w:sz w:val="20"/>
          <w:szCs w:val="20"/>
        </w:rPr>
        <w:t>[…].</w:t>
      </w:r>
    </w:p>
  </w:footnote>
  <w:footnote w:id="11">
    <w:p w14:paraId="7087B220" w14:textId="77777777" w:rsidR="001D4DB0" w:rsidRPr="004D67DF" w:rsidRDefault="001D4DB0" w:rsidP="001D4DB0">
      <w:pPr>
        <w:pStyle w:val="Estilo"/>
      </w:pPr>
      <w:r w:rsidRPr="00B50B65">
        <w:rPr>
          <w:rStyle w:val="Refdenotaalpie"/>
          <w:rFonts w:cs="Arial"/>
          <w:sz w:val="20"/>
          <w:szCs w:val="20"/>
        </w:rPr>
        <w:footnoteRef/>
      </w:r>
      <w:r w:rsidRPr="00200B92">
        <w:t xml:space="preserve"> </w:t>
      </w:r>
      <w:r w:rsidRPr="004D67DF">
        <w:rPr>
          <w:b/>
          <w:sz w:val="20"/>
          <w:szCs w:val="20"/>
        </w:rPr>
        <w:t>Artículo 1.</w:t>
      </w:r>
      <w:r w:rsidRPr="004D67DF">
        <w:rPr>
          <w:sz w:val="20"/>
          <w:szCs w:val="20"/>
        </w:rPr>
        <w:t xml:space="preserve"> La Suprema Corte de Justicia de la Nación conocerá y resolverá con base en las disposiciones del presente Título, las controversias constitucionales en las que se hagan valer violaciones a la Constitución Política de los Estados Unidos Mexicanos, así como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12">
    <w:p w14:paraId="20C97814" w14:textId="77777777" w:rsidR="001D4DB0" w:rsidRPr="00F467C4" w:rsidRDefault="001D4DB0" w:rsidP="001D4DB0">
      <w:pPr>
        <w:pStyle w:val="Estilo"/>
        <w:rPr>
          <w:sz w:val="20"/>
          <w:szCs w:val="20"/>
        </w:rPr>
      </w:pPr>
      <w:r w:rsidRPr="00F467C4">
        <w:rPr>
          <w:rStyle w:val="Refdenotaalpie"/>
          <w:rFonts w:cs="Arial"/>
          <w:sz w:val="20"/>
          <w:szCs w:val="20"/>
        </w:rPr>
        <w:footnoteRef/>
      </w:r>
      <w:r w:rsidRPr="00F467C4">
        <w:rPr>
          <w:sz w:val="20"/>
          <w:szCs w:val="20"/>
        </w:rPr>
        <w:t xml:space="preserve"> </w:t>
      </w:r>
      <w:r w:rsidRPr="00F467C4">
        <w:rPr>
          <w:b/>
          <w:sz w:val="20"/>
          <w:szCs w:val="20"/>
        </w:rPr>
        <w:t>Artículo 10.</w:t>
      </w:r>
      <w:r w:rsidRPr="00F467C4">
        <w:rPr>
          <w:sz w:val="20"/>
          <w:szCs w:val="20"/>
        </w:rPr>
        <w:t xml:space="preserve"> La Suprema Corte de Justicia de la Nación conocerá funcionando en Pleno:</w:t>
      </w:r>
    </w:p>
    <w:p w14:paraId="6C1053E1" w14:textId="77777777" w:rsidR="001D4DB0" w:rsidRPr="00F467C4" w:rsidRDefault="001D4DB0" w:rsidP="001D4DB0">
      <w:pPr>
        <w:pStyle w:val="Estilo"/>
        <w:rPr>
          <w:sz w:val="20"/>
          <w:szCs w:val="20"/>
        </w:rPr>
      </w:pPr>
      <w:r w:rsidRPr="00F467C4">
        <w:rPr>
          <w:sz w:val="20"/>
          <w:szCs w:val="20"/>
        </w:rPr>
        <w:t>I. De las controversias constitucionales y acciones de inconstitucionalidad a que se refieren las fracciones I y II del artículo 105 de la Constitución Política de los Estados Unidos Mexicanos;</w:t>
      </w:r>
    </w:p>
    <w:p w14:paraId="496EDCEB" w14:textId="77777777" w:rsidR="001D4DB0" w:rsidRPr="004A4273" w:rsidRDefault="001D4DB0" w:rsidP="001D4DB0">
      <w:pPr>
        <w:pStyle w:val="Estilo"/>
      </w:pPr>
      <w:r w:rsidRPr="00F467C4">
        <w:rPr>
          <w:sz w:val="20"/>
          <w:szCs w:val="20"/>
        </w:rPr>
        <w:t>[…].</w:t>
      </w:r>
    </w:p>
  </w:footnote>
  <w:footnote w:id="13">
    <w:p w14:paraId="5F87C341" w14:textId="77777777" w:rsidR="00A576B8" w:rsidRPr="00A96275" w:rsidRDefault="00A576B8" w:rsidP="00A96275">
      <w:pPr>
        <w:pStyle w:val="Textonotapie"/>
        <w:jc w:val="both"/>
        <w:rPr>
          <w:rFonts w:ascii="Arial" w:hAnsi="Arial" w:cs="Arial"/>
        </w:rPr>
      </w:pPr>
      <w:r w:rsidRPr="00A96275">
        <w:rPr>
          <w:rStyle w:val="Refdenotaalpie"/>
          <w:rFonts w:ascii="Arial" w:hAnsi="Arial" w:cs="Arial"/>
        </w:rPr>
        <w:footnoteRef/>
      </w:r>
      <w:r w:rsidRPr="00A96275">
        <w:rPr>
          <w:rFonts w:ascii="Arial" w:hAnsi="Arial" w:cs="Arial"/>
        </w:rPr>
        <w:t xml:space="preserve"> </w:t>
      </w:r>
      <w:r w:rsidRPr="00A96275">
        <w:rPr>
          <w:rFonts w:ascii="Arial" w:hAnsi="Arial" w:cs="Arial"/>
          <w:b/>
        </w:rPr>
        <w:t xml:space="preserve">Artículo 41. </w:t>
      </w:r>
      <w:r w:rsidRPr="00A96275">
        <w:rPr>
          <w:rFonts w:ascii="Arial" w:hAnsi="Arial" w:cs="Arial"/>
        </w:rPr>
        <w:t xml:space="preserve">Las sentencias deberán contener: </w:t>
      </w:r>
    </w:p>
    <w:p w14:paraId="765A89B9" w14:textId="77777777" w:rsidR="00A576B8" w:rsidRPr="00A96275" w:rsidRDefault="00A576B8" w:rsidP="00A96275">
      <w:pPr>
        <w:pStyle w:val="Textonotapie"/>
        <w:jc w:val="both"/>
        <w:rPr>
          <w:rFonts w:ascii="Arial" w:hAnsi="Arial" w:cs="Arial"/>
        </w:rPr>
      </w:pPr>
      <w:r w:rsidRPr="00A96275">
        <w:rPr>
          <w:rFonts w:ascii="Arial" w:hAnsi="Arial" w:cs="Arial"/>
          <w:b/>
          <w:bCs/>
        </w:rPr>
        <w:t>I</w:t>
      </w:r>
      <w:r w:rsidRPr="00A96275">
        <w:rPr>
          <w:rFonts w:ascii="Arial" w:hAnsi="Arial" w:cs="Arial"/>
        </w:rPr>
        <w:t>. La fijación breve y precisa de las normas generales o actos objeto de la controversia y, en su caso, la apreciación de las pruebas conducentes a tenerlos o no por demostrados;</w:t>
      </w:r>
    </w:p>
    <w:p w14:paraId="0A627ABE" w14:textId="77777777" w:rsidR="00A576B8" w:rsidRPr="00A96275" w:rsidRDefault="00A576B8" w:rsidP="00A96275">
      <w:pPr>
        <w:pStyle w:val="Textonotapie"/>
        <w:jc w:val="both"/>
        <w:rPr>
          <w:rFonts w:ascii="Arial" w:hAnsi="Arial" w:cs="Arial"/>
        </w:rPr>
      </w:pPr>
      <w:r w:rsidRPr="00A96275">
        <w:rPr>
          <w:rFonts w:ascii="Arial" w:hAnsi="Arial" w:cs="Arial"/>
        </w:rPr>
        <w:t>[...]</w:t>
      </w:r>
    </w:p>
    <w:p w14:paraId="7F0B7A4D" w14:textId="33112BA1" w:rsidR="00A576B8" w:rsidRPr="00A96275" w:rsidRDefault="00A576B8" w:rsidP="00A96275">
      <w:pPr>
        <w:pStyle w:val="Estilo"/>
        <w:rPr>
          <w:rFonts w:cs="Arial"/>
          <w:sz w:val="20"/>
          <w:szCs w:val="18"/>
          <w:lang w:val="x-none"/>
        </w:rPr>
      </w:pPr>
      <w:r w:rsidRPr="00A96275">
        <w:rPr>
          <w:rFonts w:cs="Arial"/>
          <w:b/>
          <w:bCs/>
          <w:sz w:val="20"/>
          <w:szCs w:val="18"/>
        </w:rPr>
        <w:t>Artículo 73.</w:t>
      </w:r>
      <w:r w:rsidRPr="00A96275">
        <w:rPr>
          <w:rFonts w:cs="Arial"/>
          <w:sz w:val="20"/>
          <w:szCs w:val="18"/>
        </w:rPr>
        <w:t xml:space="preserve"> Las sentencias se regirán por lo dispuesto en los artículos 41, 43, 44 y 45 de esta ley.</w:t>
      </w:r>
    </w:p>
  </w:footnote>
  <w:footnote w:id="14">
    <w:p w14:paraId="7FF78221" w14:textId="77777777" w:rsidR="001D4DB0" w:rsidRDefault="001D4DB0" w:rsidP="00A96275">
      <w:pPr>
        <w:spacing w:after="0" w:line="240" w:lineRule="auto"/>
        <w:rPr>
          <w:sz w:val="20"/>
          <w:szCs w:val="20"/>
        </w:rPr>
      </w:pPr>
      <w:r w:rsidRPr="00A96275">
        <w:rPr>
          <w:rStyle w:val="Refdenotaalpie"/>
          <w:sz w:val="20"/>
          <w:szCs w:val="20"/>
        </w:rPr>
        <w:footnoteRef/>
      </w:r>
      <w:r w:rsidRPr="00A96275">
        <w:rPr>
          <w:sz w:val="20"/>
          <w:szCs w:val="20"/>
        </w:rPr>
        <w:t xml:space="preserve"> </w:t>
      </w:r>
      <w:r w:rsidRPr="00A96275">
        <w:rPr>
          <w:b/>
          <w:sz w:val="20"/>
          <w:szCs w:val="20"/>
        </w:rPr>
        <w:t>Artículo 60.</w:t>
      </w:r>
      <w:r w:rsidRPr="00A96275">
        <w:rPr>
          <w:sz w:val="20"/>
          <w:szCs w:val="20"/>
        </w:rPr>
        <w:t xml:space="preserve"> El plazo</w:t>
      </w:r>
      <w:r w:rsidRPr="00200B92">
        <w:rPr>
          <w:sz w:val="20"/>
          <w:szCs w:val="20"/>
        </w:rPr>
        <w:t xml:space="preserve">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554835B5" w14:textId="77777777" w:rsidR="001D4DB0" w:rsidRPr="00EE05A1" w:rsidRDefault="001D4DB0" w:rsidP="001D4DB0">
      <w:pPr>
        <w:spacing w:after="0" w:line="240" w:lineRule="auto"/>
        <w:rPr>
          <w:sz w:val="20"/>
          <w:szCs w:val="20"/>
        </w:rPr>
      </w:pPr>
      <w:r w:rsidRPr="00EE05A1">
        <w:rPr>
          <w:sz w:val="20"/>
          <w:szCs w:val="20"/>
        </w:rPr>
        <w:t>En materia electoral, para el cómputo de los plazos, todos los días son hábiles.</w:t>
      </w:r>
    </w:p>
  </w:footnote>
  <w:footnote w:id="15">
    <w:p w14:paraId="18C91C61" w14:textId="77777777" w:rsidR="001D4DB0" w:rsidRDefault="001D4DB0" w:rsidP="001D4DB0">
      <w:pPr>
        <w:spacing w:after="0" w:line="240" w:lineRule="auto"/>
        <w:rPr>
          <w:sz w:val="20"/>
          <w:szCs w:val="20"/>
        </w:rPr>
      </w:pPr>
      <w:r w:rsidRPr="00200B92">
        <w:rPr>
          <w:rStyle w:val="Refdenotaalpie"/>
          <w:sz w:val="20"/>
          <w:szCs w:val="20"/>
        </w:rPr>
        <w:footnoteRef/>
      </w:r>
      <w:r w:rsidRPr="00200B92">
        <w:rPr>
          <w:sz w:val="20"/>
          <w:szCs w:val="20"/>
        </w:rPr>
        <w:t xml:space="preserve"> </w:t>
      </w:r>
      <w:r w:rsidRPr="00200B92">
        <w:rPr>
          <w:b/>
          <w:sz w:val="20"/>
          <w:szCs w:val="20"/>
        </w:rPr>
        <w:t>Artículo 11</w:t>
      </w:r>
      <w:r>
        <w:rPr>
          <w:b/>
          <w:sz w:val="20"/>
          <w:szCs w:val="20"/>
        </w:rPr>
        <w:t>.</w:t>
      </w:r>
      <w:r w:rsidRPr="00200B92">
        <w:rPr>
          <w:sz w:val="20"/>
          <w:szCs w:val="20"/>
        </w:rPr>
        <w:t xml:space="preserve"> </w:t>
      </w:r>
      <w:r w:rsidRPr="00B90157">
        <w:rPr>
          <w:sz w:val="20"/>
          <w:szCs w:val="20"/>
        </w:rPr>
        <w:t>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765268F0" w14:textId="77777777" w:rsidR="001D4DB0" w:rsidRDefault="001D4DB0" w:rsidP="001D4DB0">
      <w:pPr>
        <w:spacing w:after="0" w:line="240" w:lineRule="auto"/>
        <w:rPr>
          <w:sz w:val="20"/>
          <w:szCs w:val="20"/>
        </w:rPr>
      </w:pPr>
      <w:r>
        <w:rPr>
          <w:sz w:val="20"/>
          <w:szCs w:val="20"/>
        </w:rPr>
        <w:t>[</w:t>
      </w:r>
      <w:r w:rsidRPr="00200B92">
        <w:rPr>
          <w:sz w:val="20"/>
          <w:szCs w:val="20"/>
        </w:rPr>
        <w:t>…</w:t>
      </w:r>
      <w:r>
        <w:rPr>
          <w:sz w:val="20"/>
          <w:szCs w:val="20"/>
        </w:rPr>
        <w:t>].</w:t>
      </w:r>
    </w:p>
    <w:p w14:paraId="5290A5C3" w14:textId="77777777" w:rsidR="001D4DB0" w:rsidRPr="00F23973" w:rsidRDefault="001D4DB0" w:rsidP="001D4DB0">
      <w:pPr>
        <w:spacing w:after="0" w:line="240" w:lineRule="auto"/>
        <w:rPr>
          <w:sz w:val="20"/>
          <w:szCs w:val="20"/>
        </w:rPr>
      </w:pPr>
      <w:r w:rsidRPr="00200B92">
        <w:rPr>
          <w:b/>
          <w:sz w:val="20"/>
          <w:szCs w:val="20"/>
        </w:rPr>
        <w:t>Artículo 59</w:t>
      </w:r>
      <w:r>
        <w:rPr>
          <w:b/>
          <w:sz w:val="20"/>
          <w:szCs w:val="20"/>
        </w:rPr>
        <w:t>.</w:t>
      </w:r>
      <w:r w:rsidRPr="00200B92">
        <w:rPr>
          <w:sz w:val="20"/>
          <w:szCs w:val="20"/>
        </w:rPr>
        <w:t xml:space="preserve"> </w:t>
      </w:r>
      <w:r w:rsidRPr="00F23973">
        <w:rPr>
          <w:sz w:val="20"/>
          <w:szCs w:val="20"/>
        </w:rPr>
        <w:t>En las acciones de inconstitucionalidad se aplicarán en todo aquello que no se encuentre previsto en este Título, en lo conducente, las disposiciones contenidas en el Título II.</w:t>
      </w:r>
    </w:p>
  </w:footnote>
  <w:footnote w:id="16">
    <w:p w14:paraId="12341D4F" w14:textId="77777777" w:rsidR="001D4DB0" w:rsidRPr="009E2E05" w:rsidRDefault="001D4DB0" w:rsidP="001D4DB0">
      <w:pPr>
        <w:pStyle w:val="Textonotapie"/>
        <w:jc w:val="both"/>
        <w:rPr>
          <w:rFonts w:ascii="Arial" w:hAnsi="Arial" w:cs="Arial"/>
        </w:rPr>
      </w:pPr>
      <w:r w:rsidRPr="009E2E05">
        <w:rPr>
          <w:rStyle w:val="Refdenotaalpie"/>
          <w:rFonts w:ascii="Arial" w:hAnsi="Arial" w:cs="Arial"/>
        </w:rPr>
        <w:footnoteRef/>
      </w:r>
      <w:r w:rsidRPr="009E2E05">
        <w:rPr>
          <w:rFonts w:ascii="Arial" w:hAnsi="Arial" w:cs="Arial"/>
        </w:rPr>
        <w:t xml:space="preserve"> Véase el expediente electrónico de la </w:t>
      </w:r>
      <w:r>
        <w:rPr>
          <w:rFonts w:ascii="Arial" w:hAnsi="Arial" w:cs="Arial"/>
        </w:rPr>
        <w:t>acción de inconstitucionalidad</w:t>
      </w:r>
      <w:r w:rsidRPr="009E2E05">
        <w:rPr>
          <w:rFonts w:ascii="Arial" w:hAnsi="Arial" w:cs="Arial"/>
        </w:rPr>
        <w:t xml:space="preserve"> </w:t>
      </w:r>
      <w:r>
        <w:rPr>
          <w:rFonts w:ascii="Arial" w:hAnsi="Arial" w:cs="Arial"/>
        </w:rPr>
        <w:t>152</w:t>
      </w:r>
      <w:r w:rsidRPr="009E2E05">
        <w:rPr>
          <w:rFonts w:ascii="Arial" w:hAnsi="Arial" w:cs="Arial"/>
        </w:rPr>
        <w:t>/202</w:t>
      </w:r>
      <w:r>
        <w:rPr>
          <w:rFonts w:ascii="Arial" w:hAnsi="Arial" w:cs="Arial"/>
        </w:rPr>
        <w:t>1</w:t>
      </w:r>
      <w:r w:rsidRPr="009E2E05">
        <w:rPr>
          <w:rFonts w:ascii="Arial" w:hAnsi="Arial" w:cs="Arial"/>
        </w:rPr>
        <w:t>, escrito inicial de demanda.</w:t>
      </w:r>
    </w:p>
  </w:footnote>
  <w:footnote w:id="17">
    <w:p w14:paraId="74550FA7" w14:textId="77777777" w:rsidR="001D4DB0" w:rsidRPr="00D47C03" w:rsidRDefault="001D4DB0" w:rsidP="001D4DB0">
      <w:pPr>
        <w:pStyle w:val="Sinespaciado"/>
        <w:rPr>
          <w:sz w:val="20"/>
        </w:rPr>
      </w:pPr>
      <w:r w:rsidRPr="00D47C03">
        <w:rPr>
          <w:rStyle w:val="Refdenotaalpie"/>
          <w:sz w:val="20"/>
          <w:szCs w:val="20"/>
        </w:rPr>
        <w:footnoteRef/>
      </w:r>
      <w:r w:rsidRPr="00D47C03">
        <w:rPr>
          <w:sz w:val="20"/>
          <w:szCs w:val="20"/>
        </w:rPr>
        <w:t xml:space="preserve"> </w:t>
      </w:r>
      <w:r w:rsidRPr="00D47C03">
        <w:rPr>
          <w:b/>
          <w:sz w:val="20"/>
        </w:rPr>
        <w:t xml:space="preserve">Artículo </w:t>
      </w:r>
      <w:r>
        <w:rPr>
          <w:b/>
          <w:sz w:val="20"/>
        </w:rPr>
        <w:t>51</w:t>
      </w:r>
      <w:r w:rsidRPr="00D47C03">
        <w:rPr>
          <w:b/>
          <w:sz w:val="20"/>
        </w:rPr>
        <w:t>.</w:t>
      </w:r>
      <w:r w:rsidRPr="00D47C03">
        <w:rPr>
          <w:sz w:val="20"/>
        </w:rPr>
        <w:t xml:space="preserve"> </w:t>
      </w:r>
      <w:r>
        <w:rPr>
          <w:sz w:val="20"/>
        </w:rPr>
        <w:t xml:space="preserve">El Presidente o Presidenta Estatal de Nueva Alianza Oaxaca es el representante legal y político del Partido, obligado a velar por la observancia de sus Documentos Básicos y el cumplimiento de sus objetivos, para asegurar la unidad de acción de todos sus afiliados y afiliadas, así como aliados y aliadas, mediante procedimientos democráticos. </w:t>
      </w:r>
    </w:p>
  </w:footnote>
  <w:footnote w:id="18">
    <w:p w14:paraId="7E465D18" w14:textId="77777777" w:rsidR="001D4DB0" w:rsidRPr="00A05AFE" w:rsidRDefault="001D4DB0" w:rsidP="001D4DB0">
      <w:pPr>
        <w:pStyle w:val="Textonotapie"/>
        <w:jc w:val="both"/>
        <w:rPr>
          <w:rFonts w:ascii="Arial" w:hAnsi="Arial" w:cs="Arial"/>
          <w:highlight w:val="cyan"/>
        </w:rPr>
      </w:pPr>
      <w:r w:rsidRPr="00972D9E">
        <w:rPr>
          <w:rStyle w:val="Refdenotaalpie"/>
          <w:rFonts w:ascii="Arial" w:hAnsi="Arial" w:cs="Arial"/>
        </w:rPr>
        <w:footnoteRef/>
      </w:r>
      <w:r w:rsidRPr="00972D9E">
        <w:rPr>
          <w:rFonts w:ascii="Arial" w:hAnsi="Arial" w:cs="Arial"/>
        </w:rPr>
        <w:t xml:space="preserve"> </w:t>
      </w:r>
      <w:r>
        <w:rPr>
          <w:rFonts w:ascii="Arial" w:hAnsi="Arial" w:cs="Arial"/>
        </w:rPr>
        <w:t xml:space="preserve">Véase </w:t>
      </w:r>
      <w:r w:rsidRPr="004438C8">
        <w:rPr>
          <w:rFonts w:ascii="Arial" w:hAnsi="Arial" w:cs="Arial"/>
        </w:rPr>
        <w:t>el expediente</w:t>
      </w:r>
      <w:r>
        <w:rPr>
          <w:rFonts w:ascii="Arial" w:hAnsi="Arial" w:cs="Arial"/>
        </w:rPr>
        <w:t xml:space="preserve"> electrónico</w:t>
      </w:r>
      <w:r w:rsidRPr="00200B92">
        <w:rPr>
          <w:rFonts w:ascii="Arial" w:hAnsi="Arial" w:cs="Arial"/>
        </w:rPr>
        <w:t xml:space="preserve"> </w:t>
      </w:r>
      <w:r>
        <w:rPr>
          <w:rFonts w:ascii="Arial" w:hAnsi="Arial" w:cs="Arial"/>
        </w:rPr>
        <w:t>de la acción de inconstitucionalidad 152/2021</w:t>
      </w:r>
      <w:r w:rsidRPr="00200B92">
        <w:rPr>
          <w:rFonts w:ascii="Arial" w:hAnsi="Arial" w:cs="Arial"/>
        </w:rPr>
        <w:t xml:space="preserve">, </w:t>
      </w:r>
      <w:r>
        <w:rPr>
          <w:rFonts w:ascii="Arial" w:hAnsi="Arial" w:cs="Arial"/>
        </w:rPr>
        <w:t xml:space="preserve">anexos del </w:t>
      </w:r>
      <w:r w:rsidRPr="009E2E05">
        <w:rPr>
          <w:rFonts w:ascii="Arial" w:hAnsi="Arial" w:cs="Arial"/>
        </w:rPr>
        <w:t>escrito inicial de demanda.</w:t>
      </w:r>
    </w:p>
  </w:footnote>
  <w:footnote w:id="19">
    <w:p w14:paraId="3B1A5EA1" w14:textId="77777777" w:rsidR="00D979CE" w:rsidRDefault="00D979CE" w:rsidP="00D979CE">
      <w:pPr>
        <w:pStyle w:val="Sinespaciado"/>
        <w:rPr>
          <w:sz w:val="20"/>
          <w:szCs w:val="20"/>
        </w:rPr>
      </w:pPr>
      <w:r w:rsidRPr="00200B92">
        <w:rPr>
          <w:rStyle w:val="Refdenotaalpie"/>
          <w:sz w:val="20"/>
          <w:szCs w:val="20"/>
        </w:rPr>
        <w:footnoteRef/>
      </w:r>
      <w:r w:rsidRPr="00200B92">
        <w:rPr>
          <w:sz w:val="20"/>
          <w:szCs w:val="20"/>
        </w:rPr>
        <w:t xml:space="preserve"> </w:t>
      </w:r>
      <w:r w:rsidRPr="00200B92">
        <w:rPr>
          <w:b/>
          <w:sz w:val="20"/>
          <w:szCs w:val="20"/>
        </w:rPr>
        <w:t xml:space="preserve">Artículo </w:t>
      </w:r>
      <w:r>
        <w:rPr>
          <w:b/>
          <w:sz w:val="20"/>
          <w:szCs w:val="20"/>
        </w:rPr>
        <w:t>19</w:t>
      </w:r>
      <w:r w:rsidRPr="00200B92">
        <w:rPr>
          <w:b/>
          <w:sz w:val="20"/>
          <w:szCs w:val="20"/>
        </w:rPr>
        <w:t>.</w:t>
      </w:r>
      <w:r>
        <w:rPr>
          <w:b/>
          <w:sz w:val="20"/>
          <w:szCs w:val="20"/>
        </w:rPr>
        <w:t xml:space="preserve"> </w:t>
      </w:r>
      <w:r>
        <w:rPr>
          <w:sz w:val="20"/>
          <w:szCs w:val="20"/>
        </w:rPr>
        <w:t>Las controversias constitucionales son improcedentes:</w:t>
      </w:r>
      <w:r w:rsidRPr="00200B92">
        <w:rPr>
          <w:b/>
          <w:sz w:val="20"/>
          <w:szCs w:val="20"/>
        </w:rPr>
        <w:t xml:space="preserve"> </w:t>
      </w:r>
    </w:p>
    <w:p w14:paraId="7DAD17EF" w14:textId="77777777" w:rsidR="00D979CE" w:rsidRDefault="00D979CE" w:rsidP="00D979CE">
      <w:pPr>
        <w:pStyle w:val="Sinespaciado"/>
        <w:rPr>
          <w:sz w:val="20"/>
          <w:szCs w:val="20"/>
        </w:rPr>
      </w:pPr>
      <w:r>
        <w:rPr>
          <w:sz w:val="20"/>
          <w:szCs w:val="20"/>
        </w:rPr>
        <w:t>[…]</w:t>
      </w:r>
    </w:p>
    <w:p w14:paraId="747C16AB" w14:textId="77777777" w:rsidR="00D979CE" w:rsidRPr="00830808" w:rsidRDefault="00D979CE" w:rsidP="00D979CE">
      <w:pPr>
        <w:pStyle w:val="Estilo"/>
        <w:rPr>
          <w:sz w:val="20"/>
          <w:szCs w:val="18"/>
        </w:rPr>
      </w:pPr>
      <w:r w:rsidRPr="00830808">
        <w:rPr>
          <w:b/>
          <w:bCs/>
          <w:sz w:val="20"/>
          <w:szCs w:val="18"/>
        </w:rPr>
        <w:t>IX.</w:t>
      </w:r>
      <w:r w:rsidRPr="00830808">
        <w:rPr>
          <w:sz w:val="20"/>
          <w:szCs w:val="18"/>
        </w:rPr>
        <w:t xml:space="preserve"> En los demás casos en que la improcedencia resulte de alguna disposición de esta Ley.</w:t>
      </w:r>
    </w:p>
  </w:footnote>
  <w:footnote w:id="20">
    <w:p w14:paraId="577E9F39" w14:textId="77777777" w:rsidR="00D979CE" w:rsidRPr="00200B92" w:rsidRDefault="00D979CE" w:rsidP="00D979CE">
      <w:pPr>
        <w:pStyle w:val="Textonotapie"/>
        <w:jc w:val="both"/>
        <w:rPr>
          <w:rFonts w:ascii="Arial" w:hAnsi="Arial" w:cs="Arial"/>
        </w:rPr>
      </w:pPr>
      <w:r w:rsidRPr="00200B92">
        <w:rPr>
          <w:rStyle w:val="Refdenotaalpie"/>
          <w:rFonts w:ascii="Arial" w:hAnsi="Arial" w:cs="Arial"/>
        </w:rPr>
        <w:footnoteRef/>
      </w:r>
      <w:r w:rsidRPr="00200B92">
        <w:rPr>
          <w:rFonts w:ascii="Arial" w:hAnsi="Arial" w:cs="Arial"/>
        </w:rPr>
        <w:t xml:space="preserve"> </w:t>
      </w:r>
      <w:r>
        <w:rPr>
          <w:rFonts w:ascii="Arial" w:hAnsi="Arial" w:cs="Arial"/>
        </w:rPr>
        <w:t xml:space="preserve">Véase </w:t>
      </w:r>
      <w:r w:rsidRPr="00D44F2C">
        <w:rPr>
          <w:rFonts w:ascii="Arial" w:hAnsi="Arial" w:cs="Arial"/>
          <w:i/>
        </w:rPr>
        <w:t>supra</w:t>
      </w:r>
      <w:r>
        <w:rPr>
          <w:rFonts w:ascii="Arial" w:hAnsi="Arial" w:cs="Arial"/>
        </w:rPr>
        <w:t xml:space="preserve"> nota 16.</w:t>
      </w:r>
    </w:p>
  </w:footnote>
  <w:footnote w:id="21">
    <w:p w14:paraId="2FAF2659" w14:textId="77777777" w:rsidR="00D979CE" w:rsidRPr="00200B92" w:rsidRDefault="00D979CE" w:rsidP="00D979CE">
      <w:pPr>
        <w:pStyle w:val="Textonotapie"/>
        <w:jc w:val="both"/>
        <w:rPr>
          <w:rFonts w:ascii="Arial" w:hAnsi="Arial" w:cs="Arial"/>
        </w:rPr>
      </w:pPr>
      <w:r w:rsidRPr="00200B92">
        <w:rPr>
          <w:rStyle w:val="Refdenotaalpie"/>
          <w:rFonts w:ascii="Arial" w:hAnsi="Arial" w:cs="Arial"/>
        </w:rPr>
        <w:footnoteRef/>
      </w:r>
      <w:r w:rsidRPr="00200B92">
        <w:rPr>
          <w:rFonts w:ascii="Arial" w:hAnsi="Arial" w:cs="Arial"/>
        </w:rPr>
        <w:t xml:space="preserve"> </w:t>
      </w:r>
      <w:r w:rsidRPr="00200B92">
        <w:rPr>
          <w:rFonts w:ascii="Arial" w:hAnsi="Arial" w:cs="Arial"/>
          <w:b/>
        </w:rPr>
        <w:t>Artículo 105</w:t>
      </w:r>
      <w:r>
        <w:rPr>
          <w:rFonts w:ascii="Arial" w:hAnsi="Arial" w:cs="Arial"/>
          <w:b/>
        </w:rPr>
        <w:t>.</w:t>
      </w:r>
      <w:r w:rsidRPr="00200B92">
        <w:rPr>
          <w:rFonts w:ascii="Arial" w:hAnsi="Arial" w:cs="Arial"/>
          <w:b/>
        </w:rPr>
        <w:t xml:space="preserve"> </w:t>
      </w:r>
      <w:r w:rsidRPr="00200B92">
        <w:rPr>
          <w:rFonts w:ascii="Arial" w:hAnsi="Arial" w:cs="Arial"/>
        </w:rPr>
        <w:t>La Suprema Corte de Justicia de la Nación conocerá, en los términos que señale la ley reglamentaria</w:t>
      </w:r>
      <w:r>
        <w:rPr>
          <w:rFonts w:ascii="Arial" w:hAnsi="Arial" w:cs="Arial"/>
        </w:rPr>
        <w:t>, de los asuntos siguientes: […]</w:t>
      </w:r>
    </w:p>
    <w:p w14:paraId="6D5EF999" w14:textId="77777777" w:rsidR="00D979CE" w:rsidRPr="00200B92" w:rsidRDefault="00D979CE" w:rsidP="00D979CE">
      <w:pPr>
        <w:pStyle w:val="Textonotapie"/>
        <w:jc w:val="both"/>
        <w:rPr>
          <w:rFonts w:ascii="Arial" w:hAnsi="Arial" w:cs="Arial"/>
        </w:rPr>
      </w:pPr>
      <w:r w:rsidRPr="00FC056F">
        <w:rPr>
          <w:rFonts w:ascii="Arial" w:hAnsi="Arial" w:cs="Arial"/>
          <w:b/>
          <w:bCs/>
        </w:rPr>
        <w:t>II.</w:t>
      </w:r>
      <w:r w:rsidRPr="00200B92">
        <w:rPr>
          <w:rFonts w:ascii="Arial" w:hAnsi="Arial" w:cs="Arial"/>
        </w:rPr>
        <w:t xml:space="preserve"> De las acciones de inconstitucionalidad que tengan por objeto plantear la posible contradicción entre una norma de carácter general y esta Constitución.</w:t>
      </w:r>
    </w:p>
    <w:p w14:paraId="6F9A578B" w14:textId="77777777" w:rsidR="00D979CE" w:rsidRPr="00200B92" w:rsidRDefault="00D979CE" w:rsidP="00D979CE">
      <w:pPr>
        <w:pStyle w:val="Textonotapie"/>
        <w:jc w:val="both"/>
        <w:rPr>
          <w:rFonts w:ascii="Arial" w:hAnsi="Arial" w:cs="Arial"/>
        </w:rPr>
      </w:pPr>
      <w:r w:rsidRPr="00200B92">
        <w:rPr>
          <w:rFonts w:ascii="Arial" w:hAnsi="Arial" w:cs="Arial"/>
        </w:rPr>
        <w:t>Las acciones de inconstitucionalidad podrán ejercitarse, dentro de los treinta días naturales siguientes a la fecha de</w:t>
      </w:r>
      <w:r>
        <w:rPr>
          <w:rFonts w:ascii="Arial" w:hAnsi="Arial" w:cs="Arial"/>
        </w:rPr>
        <w:t xml:space="preserve"> publicación de la norma, por: […]</w:t>
      </w:r>
    </w:p>
    <w:p w14:paraId="0F1D5E2B" w14:textId="77777777" w:rsidR="00D979CE" w:rsidRDefault="00D979CE" w:rsidP="00D979CE">
      <w:pPr>
        <w:pStyle w:val="Estilo"/>
        <w:rPr>
          <w:sz w:val="20"/>
          <w:szCs w:val="20"/>
        </w:rPr>
      </w:pPr>
      <w:r w:rsidRPr="00FC056F">
        <w:rPr>
          <w:b/>
          <w:bCs/>
          <w:sz w:val="20"/>
          <w:szCs w:val="20"/>
        </w:rPr>
        <w:t>f)</w:t>
      </w:r>
      <w:r w:rsidRPr="00200B92">
        <w:rPr>
          <w:sz w:val="20"/>
          <w:szCs w:val="20"/>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74B25609" w14:textId="77777777" w:rsidR="00D979CE" w:rsidRPr="00200B92" w:rsidRDefault="00D979CE" w:rsidP="00D979CE">
      <w:pPr>
        <w:pStyle w:val="Textonotapie"/>
        <w:jc w:val="both"/>
        <w:rPr>
          <w:rFonts w:ascii="Arial" w:hAnsi="Arial" w:cs="Arial"/>
        </w:rPr>
      </w:pPr>
      <w:r>
        <w:rPr>
          <w:rFonts w:cs="Arial"/>
        </w:rPr>
        <w:t>[…].</w:t>
      </w:r>
    </w:p>
  </w:footnote>
  <w:footnote w:id="22">
    <w:p w14:paraId="789B7CDF" w14:textId="77777777" w:rsidR="00D979CE" w:rsidRPr="00A05AFE" w:rsidRDefault="00D979CE" w:rsidP="00D979CE">
      <w:pPr>
        <w:pStyle w:val="Textonotapie"/>
        <w:jc w:val="both"/>
        <w:rPr>
          <w:rFonts w:ascii="Arial" w:hAnsi="Arial" w:cs="Arial"/>
          <w:highlight w:val="cyan"/>
        </w:rPr>
      </w:pPr>
      <w:r w:rsidRPr="008D10D8">
        <w:rPr>
          <w:rStyle w:val="Refdenotaalpie"/>
          <w:rFonts w:ascii="Arial" w:hAnsi="Arial" w:cs="Arial"/>
        </w:rPr>
        <w:footnoteRef/>
      </w:r>
      <w:r w:rsidRPr="008D10D8">
        <w:rPr>
          <w:rFonts w:ascii="Arial" w:hAnsi="Arial" w:cs="Arial"/>
        </w:rPr>
        <w:t xml:space="preserve"> </w:t>
      </w:r>
      <w:r w:rsidRPr="009E2E05">
        <w:rPr>
          <w:rFonts w:ascii="Arial" w:hAnsi="Arial" w:cs="Arial"/>
        </w:rPr>
        <w:t xml:space="preserve">Véase el expediente electrónico de la </w:t>
      </w:r>
      <w:r>
        <w:rPr>
          <w:rFonts w:ascii="Arial" w:hAnsi="Arial" w:cs="Arial"/>
        </w:rPr>
        <w:t>acción de inconstitucionalidad</w:t>
      </w:r>
      <w:r w:rsidRPr="009E2E05">
        <w:rPr>
          <w:rFonts w:ascii="Arial" w:hAnsi="Arial" w:cs="Arial"/>
        </w:rPr>
        <w:t xml:space="preserve"> </w:t>
      </w:r>
      <w:r>
        <w:rPr>
          <w:rFonts w:ascii="Arial" w:hAnsi="Arial" w:cs="Arial"/>
        </w:rPr>
        <w:t>152</w:t>
      </w:r>
      <w:r w:rsidRPr="009E2E05">
        <w:rPr>
          <w:rFonts w:ascii="Arial" w:hAnsi="Arial" w:cs="Arial"/>
        </w:rPr>
        <w:t>/202</w:t>
      </w:r>
      <w:r>
        <w:rPr>
          <w:rFonts w:ascii="Arial" w:hAnsi="Arial" w:cs="Arial"/>
        </w:rPr>
        <w:t>1</w:t>
      </w:r>
      <w:r w:rsidRPr="009E2E05">
        <w:rPr>
          <w:rFonts w:ascii="Arial" w:hAnsi="Arial" w:cs="Arial"/>
        </w:rPr>
        <w:t xml:space="preserve">, </w:t>
      </w:r>
      <w:r>
        <w:rPr>
          <w:rFonts w:ascii="Arial" w:hAnsi="Arial" w:cs="Arial"/>
        </w:rPr>
        <w:t>informe del Congreso del Estado de Oaxaca.</w:t>
      </w:r>
    </w:p>
  </w:footnote>
  <w:footnote w:id="23">
    <w:p w14:paraId="697B25A8" w14:textId="27580BC3" w:rsidR="00181E4B" w:rsidRPr="00F87AAA" w:rsidRDefault="00181E4B" w:rsidP="00181E4B">
      <w:pPr>
        <w:pStyle w:val="Textonotapie"/>
        <w:jc w:val="both"/>
        <w:rPr>
          <w:rFonts w:ascii="Arial" w:hAnsi="Arial" w:cs="Arial"/>
          <w:lang w:val="es-ES_tradnl"/>
        </w:rPr>
      </w:pPr>
      <w:r>
        <w:rPr>
          <w:rStyle w:val="Refdenotaalpie"/>
          <w:rFonts w:ascii="Arial" w:hAnsi="Arial" w:cs="Arial"/>
        </w:rPr>
        <w:footnoteRef/>
      </w:r>
      <w:r>
        <w:rPr>
          <w:rFonts w:ascii="Arial" w:hAnsi="Arial" w:cs="Arial"/>
        </w:rPr>
        <w:t xml:space="preserve"> Resuelta el cinco de octubre de dos mil quince, en </w:t>
      </w:r>
      <w:r w:rsidR="00F75664">
        <w:rPr>
          <w:rFonts w:ascii="Arial" w:hAnsi="Arial" w:cs="Arial"/>
        </w:rPr>
        <w:t>el punto relativo a</w:t>
      </w:r>
      <w:r>
        <w:rPr>
          <w:rFonts w:ascii="Arial" w:hAnsi="Arial" w:cs="Arial"/>
        </w:rPr>
        <w:t xml:space="preserve"> </w:t>
      </w:r>
      <w:r w:rsidR="00F75664">
        <w:rPr>
          <w:rFonts w:ascii="Arial" w:hAnsi="Arial" w:cs="Arial"/>
        </w:rPr>
        <w:t>la procedencia de la acción de inconstitucionalidad 57/2015,</w:t>
      </w:r>
      <w:r>
        <w:rPr>
          <w:rFonts w:ascii="Arial" w:hAnsi="Arial" w:cs="Arial"/>
        </w:rPr>
        <w:t xml:space="preserve"> por </w:t>
      </w:r>
      <w:r w:rsidR="00F75664">
        <w:rPr>
          <w:rFonts w:ascii="Arial" w:hAnsi="Arial" w:cs="Arial"/>
        </w:rPr>
        <w:t xml:space="preserve">unanimidad de diez votos </w:t>
      </w:r>
      <w:r w:rsidR="00F75664" w:rsidRPr="00F75664">
        <w:rPr>
          <w:rFonts w:ascii="Arial" w:hAnsi="Arial" w:cs="Arial"/>
        </w:rPr>
        <w:t xml:space="preserve">de los </w:t>
      </w:r>
      <w:r w:rsidR="00F75664">
        <w:rPr>
          <w:rFonts w:ascii="Arial" w:hAnsi="Arial" w:cs="Arial"/>
        </w:rPr>
        <w:t>m</w:t>
      </w:r>
      <w:r w:rsidR="00F75664" w:rsidRPr="00F75664">
        <w:rPr>
          <w:rFonts w:ascii="Arial" w:hAnsi="Arial" w:cs="Arial"/>
        </w:rPr>
        <w:t>inistros Gutiérrez Ortiz Mena, Cossío Díaz, Luna Ramos, Zaldívar Lelo de Larrea, Pardo Rebolledo, Silva Meza, Medina Mora I., Sánchez Cordero de García Villegas, Pérez Dayán y Presidente Aguilar Morales</w:t>
      </w:r>
      <w:r>
        <w:rPr>
          <w:rFonts w:ascii="Arial" w:hAnsi="Arial" w:cs="Arial"/>
        </w:rPr>
        <w:t xml:space="preserve">.  </w:t>
      </w:r>
    </w:p>
  </w:footnote>
  <w:footnote w:id="24">
    <w:p w14:paraId="346088E1" w14:textId="77777777" w:rsidR="00181E4B" w:rsidRPr="001218E2" w:rsidRDefault="00181E4B" w:rsidP="00181E4B">
      <w:pPr>
        <w:spacing w:line="240" w:lineRule="auto"/>
        <w:rPr>
          <w:sz w:val="20"/>
          <w:szCs w:val="20"/>
        </w:rPr>
      </w:pPr>
      <w:r w:rsidRPr="003D713B">
        <w:rPr>
          <w:rStyle w:val="Refdenotaalpie"/>
          <w:sz w:val="20"/>
        </w:rPr>
        <w:footnoteRef/>
      </w:r>
      <w:r w:rsidRPr="003D713B">
        <w:t xml:space="preserve"> </w:t>
      </w:r>
      <w:bookmarkStart w:id="7" w:name="_Hlk73711099"/>
      <w:r w:rsidRPr="001218E2">
        <w:rPr>
          <w:sz w:val="20"/>
          <w:szCs w:val="20"/>
        </w:rPr>
        <w:t xml:space="preserve">En este sentido, véase la razón esencial de la tesis de jurisprudencia de la Primera Sala número </w:t>
      </w:r>
      <w:r w:rsidRPr="001218E2">
        <w:rPr>
          <w:rStyle w:val="lbl-encabezado-negro"/>
          <w:rFonts w:eastAsiaTheme="majorEastAsia"/>
          <w:sz w:val="20"/>
          <w:szCs w:val="20"/>
        </w:rPr>
        <w:t>1a.CCVI/2018 (10a.)</w:t>
      </w:r>
      <w:r w:rsidRPr="001218E2">
        <w:rPr>
          <w:sz w:val="20"/>
          <w:szCs w:val="20"/>
        </w:rPr>
        <w:t xml:space="preserve"> cuyo rubro es </w:t>
      </w:r>
      <w:r w:rsidRPr="001218E2">
        <w:rPr>
          <w:bCs/>
          <w:sz w:val="20"/>
          <w:szCs w:val="20"/>
        </w:rPr>
        <w:t>“</w:t>
      </w:r>
      <w:r w:rsidRPr="001218E2">
        <w:rPr>
          <w:b/>
          <w:sz w:val="20"/>
          <w:szCs w:val="20"/>
        </w:rPr>
        <w:t>PRINCIPIO PRO ACTIONE. EN SU APLICACIÓN A CASOS EN LOS QUE NO EXISTA CLARIDAD RESPECTO A SI UN ASUNTO ES O NO JUSTICIABLE, DEBERÁ PREFERIRSE LA PROTECCIÓN DEL DERECHO DE ACCESO A LA JURISDICCIÓN.</w:t>
      </w:r>
      <w:r w:rsidRPr="001218E2">
        <w:rPr>
          <w:bCs/>
          <w:sz w:val="20"/>
          <w:szCs w:val="20"/>
        </w:rPr>
        <w:t>”</w:t>
      </w:r>
      <w:r w:rsidRPr="001218E2">
        <w:rPr>
          <w:sz w:val="20"/>
          <w:szCs w:val="20"/>
        </w:rPr>
        <w:t xml:space="preserve">, </w:t>
      </w:r>
      <w:r w:rsidRPr="001218E2">
        <w:rPr>
          <w:i/>
          <w:sz w:val="20"/>
          <w:szCs w:val="20"/>
        </w:rPr>
        <w:t>Semanario Judicial de la Federación y su Gaceta</w:t>
      </w:r>
      <w:r w:rsidRPr="001218E2">
        <w:rPr>
          <w:sz w:val="20"/>
          <w:szCs w:val="20"/>
        </w:rPr>
        <w:t>, libro 61, tomo I, diciembre de dos mil dieciocho, pág. 377</w:t>
      </w:r>
      <w:bookmarkEnd w:id="7"/>
      <w:r w:rsidRPr="001218E2">
        <w:rPr>
          <w:sz w:val="20"/>
          <w:szCs w:val="20"/>
        </w:rPr>
        <w:t>.</w:t>
      </w:r>
    </w:p>
  </w:footnote>
  <w:footnote w:id="25">
    <w:p w14:paraId="766FFA53" w14:textId="77777777" w:rsidR="00181E4B" w:rsidRDefault="00181E4B" w:rsidP="00181E4B">
      <w:pPr>
        <w:pStyle w:val="Textonotapie"/>
        <w:jc w:val="both"/>
        <w:rPr>
          <w:rFonts w:ascii="Arial" w:hAnsi="Arial" w:cs="Arial"/>
        </w:rPr>
      </w:pPr>
      <w:r w:rsidRPr="00D5019A">
        <w:rPr>
          <w:rStyle w:val="Refdenotaalpie"/>
          <w:rFonts w:ascii="Arial" w:hAnsi="Arial" w:cs="Arial"/>
        </w:rPr>
        <w:footnoteRef/>
      </w:r>
      <w:r w:rsidRPr="00D5019A">
        <w:rPr>
          <w:rFonts w:ascii="Arial" w:hAnsi="Arial" w:cs="Arial"/>
        </w:rPr>
        <w:t xml:space="preserve"> </w:t>
      </w:r>
      <w:r w:rsidRPr="00D5019A">
        <w:rPr>
          <w:rFonts w:ascii="Arial" w:hAnsi="Arial" w:cs="Arial"/>
          <w:b/>
        </w:rPr>
        <w:t>Artículo 105.</w:t>
      </w:r>
      <w:r>
        <w:rPr>
          <w:rFonts w:ascii="Arial" w:hAnsi="Arial" w:cs="Arial"/>
          <w:b/>
        </w:rPr>
        <w:t xml:space="preserve"> </w:t>
      </w:r>
      <w:r w:rsidRPr="00D5019A">
        <w:rPr>
          <w:rFonts w:ascii="Arial" w:hAnsi="Arial" w:cs="Arial"/>
        </w:rPr>
        <w:t>[…]</w:t>
      </w:r>
      <w:r>
        <w:rPr>
          <w:rFonts w:ascii="Arial" w:hAnsi="Arial" w:cs="Arial"/>
        </w:rPr>
        <w:t xml:space="preserve"> </w:t>
      </w:r>
    </w:p>
    <w:p w14:paraId="40E33325" w14:textId="291E766F" w:rsidR="00181E4B" w:rsidRDefault="00181E4B" w:rsidP="00181E4B">
      <w:pPr>
        <w:pStyle w:val="Textonotapie"/>
        <w:jc w:val="both"/>
        <w:rPr>
          <w:rFonts w:ascii="Arial" w:hAnsi="Arial" w:cs="Arial"/>
        </w:rPr>
      </w:pPr>
      <w:r>
        <w:rPr>
          <w:rFonts w:ascii="Arial" w:hAnsi="Arial" w:cs="Arial"/>
        </w:rPr>
        <w:t>II. […]</w:t>
      </w:r>
      <w:r w:rsidR="00530F35">
        <w:rPr>
          <w:rFonts w:ascii="Arial" w:hAnsi="Arial" w:cs="Arial"/>
        </w:rPr>
        <w:t>g</w:t>
      </w:r>
    </w:p>
    <w:p w14:paraId="672DE8FB" w14:textId="77777777" w:rsidR="00181E4B" w:rsidRPr="00746D4F" w:rsidRDefault="00181E4B" w:rsidP="00181E4B">
      <w:pPr>
        <w:pStyle w:val="Textonotapie"/>
        <w:jc w:val="both"/>
        <w:rPr>
          <w:rFonts w:ascii="Arial" w:hAnsi="Arial" w:cs="Arial"/>
          <w:u w:val="single"/>
        </w:rPr>
      </w:pPr>
      <w:r w:rsidRPr="00746D4F">
        <w:rPr>
          <w:rFonts w:ascii="Arial" w:hAnsi="Arial" w:cs="Arial"/>
          <w:u w:val="single"/>
        </w:rPr>
        <w:t>La única vía para plantear la no conformidad de las leyes electorales a la Constitución es la prevista en este artículo.</w:t>
      </w:r>
      <w:r w:rsidRPr="00746D4F">
        <w:rPr>
          <w:rFonts w:ascii="Arial" w:hAnsi="Arial" w:cs="Arial"/>
        </w:rPr>
        <w:t xml:space="preserve"> (Énfasis añadido).</w:t>
      </w:r>
    </w:p>
  </w:footnote>
  <w:footnote w:id="26">
    <w:p w14:paraId="45F99DE9" w14:textId="59B8CCDC" w:rsidR="009B2B31" w:rsidRPr="009B2B31" w:rsidRDefault="009B2B31" w:rsidP="00D15D7A">
      <w:pPr>
        <w:pStyle w:val="Textonotapie"/>
        <w:jc w:val="both"/>
        <w:rPr>
          <w:rFonts w:ascii="Arial" w:hAnsi="Arial" w:cs="Arial"/>
        </w:rPr>
      </w:pPr>
      <w:r w:rsidRPr="009B2B31">
        <w:rPr>
          <w:rStyle w:val="Refdenotaalpie"/>
          <w:rFonts w:ascii="Arial" w:hAnsi="Arial" w:cs="Arial"/>
        </w:rPr>
        <w:footnoteRef/>
      </w:r>
      <w:r w:rsidRPr="009B2B31">
        <w:rPr>
          <w:rFonts w:ascii="Arial" w:hAnsi="Arial" w:cs="Arial"/>
        </w:rPr>
        <w:t xml:space="preserve"> En este sentid</w:t>
      </w:r>
      <w:r>
        <w:rPr>
          <w:rFonts w:ascii="Arial" w:hAnsi="Arial" w:cs="Arial"/>
        </w:rPr>
        <w:t>o</w:t>
      </w:r>
      <w:r w:rsidRPr="009B2B31">
        <w:rPr>
          <w:rFonts w:ascii="Arial" w:hAnsi="Arial" w:cs="Arial"/>
        </w:rPr>
        <w:t xml:space="preserve">, </w:t>
      </w:r>
      <w:r w:rsidRPr="00D15D7A">
        <w:rPr>
          <w:rFonts w:ascii="Arial" w:hAnsi="Arial" w:cs="Arial"/>
        </w:rPr>
        <w:t xml:space="preserve">véase la </w:t>
      </w:r>
      <w:r w:rsidR="00D15D7A" w:rsidRPr="00D15D7A">
        <w:rPr>
          <w:rFonts w:ascii="Arial" w:hAnsi="Arial" w:cs="Arial"/>
        </w:rPr>
        <w:t xml:space="preserve">razón esencial de la </w:t>
      </w:r>
      <w:r w:rsidRPr="00D15D7A">
        <w:rPr>
          <w:rFonts w:ascii="Arial" w:hAnsi="Arial" w:cs="Arial"/>
        </w:rPr>
        <w:t>tesis de jurisprudencia del Tribunal Pleno número</w:t>
      </w:r>
      <w:r w:rsidR="00D15D7A" w:rsidRPr="00D15D7A">
        <w:t xml:space="preserve"> </w:t>
      </w:r>
      <w:r w:rsidR="00D15D7A" w:rsidRPr="00D15D7A">
        <w:rPr>
          <w:rFonts w:ascii="Arial" w:hAnsi="Arial" w:cs="Arial"/>
        </w:rPr>
        <w:t>P./J. 125/2007</w:t>
      </w:r>
      <w:r w:rsidR="00D15D7A">
        <w:rPr>
          <w:rFonts w:ascii="Arial" w:hAnsi="Arial" w:cs="Arial"/>
        </w:rPr>
        <w:t xml:space="preserve"> cuyo rubro es </w:t>
      </w:r>
      <w:r w:rsidR="00D15D7A" w:rsidRPr="00D15D7A">
        <w:rPr>
          <w:rFonts w:ascii="Arial" w:hAnsi="Arial" w:cs="Arial"/>
          <w:b/>
          <w:bCs/>
        </w:rPr>
        <w:t>“</w:t>
      </w:r>
      <w:r w:rsidR="009A2E6F" w:rsidRPr="009A2E6F">
        <w:rPr>
          <w:rFonts w:ascii="Arial" w:hAnsi="Arial" w:cs="Arial"/>
          <w:b/>
          <w:bCs/>
        </w:rPr>
        <w:t>MATERIA ELECTORAL. DEFINICIÓN DE ÉSTA PARA EFECTOS DE LA PROCEDENCIA DE LA CONTROVERSIA CONSTITUCIONAL.</w:t>
      </w:r>
      <w:r w:rsidR="00D15D7A" w:rsidRPr="00D15D7A">
        <w:rPr>
          <w:rFonts w:ascii="Arial" w:hAnsi="Arial" w:cs="Arial"/>
          <w:b/>
          <w:bCs/>
        </w:rPr>
        <w:t>”</w:t>
      </w:r>
      <w:r w:rsidR="00D15D7A">
        <w:rPr>
          <w:rFonts w:ascii="Arial" w:hAnsi="Arial" w:cs="Arial"/>
        </w:rPr>
        <w:t xml:space="preserve">, </w:t>
      </w:r>
      <w:r w:rsidR="00D15D7A" w:rsidRPr="00D805C3">
        <w:rPr>
          <w:rFonts w:ascii="Arial" w:hAnsi="Arial" w:cs="Arial"/>
          <w:i/>
        </w:rPr>
        <w:t>Semanario Judicial de la Federación y su Gaceta</w:t>
      </w:r>
      <w:r w:rsidR="00D15D7A">
        <w:rPr>
          <w:rFonts w:ascii="Arial" w:hAnsi="Arial" w:cs="Arial"/>
        </w:rPr>
        <w:t>, novena época, tomo XXVI, diciembre de dos mil siete, pág. 1280</w:t>
      </w:r>
      <w:r w:rsidRPr="009B2B31">
        <w:rPr>
          <w:rFonts w:ascii="Arial" w:hAnsi="Arial" w:cs="Arial"/>
        </w:rPr>
        <w:t>.</w:t>
      </w:r>
    </w:p>
  </w:footnote>
  <w:footnote w:id="27">
    <w:p w14:paraId="674FDD84" w14:textId="430928E9" w:rsidR="00181E4B" w:rsidRPr="00D01916" w:rsidRDefault="00181E4B" w:rsidP="00181E4B">
      <w:pPr>
        <w:pStyle w:val="Textonotapie"/>
        <w:jc w:val="both"/>
        <w:rPr>
          <w:rFonts w:ascii="Arial" w:hAnsi="Arial" w:cs="Arial"/>
        </w:rPr>
      </w:pPr>
      <w:r w:rsidRPr="008D10D8">
        <w:rPr>
          <w:rStyle w:val="Refdenotaalpie"/>
          <w:rFonts w:ascii="Arial" w:hAnsi="Arial" w:cs="Arial"/>
        </w:rPr>
        <w:footnoteRef/>
      </w:r>
      <w:r w:rsidRPr="008D10D8">
        <w:rPr>
          <w:rFonts w:ascii="Arial" w:hAnsi="Arial" w:cs="Arial"/>
        </w:rPr>
        <w:t xml:space="preserve"> </w:t>
      </w:r>
      <w:r>
        <w:rPr>
          <w:rFonts w:ascii="Arial" w:hAnsi="Arial" w:cs="Arial"/>
        </w:rPr>
        <w:t>En este sentido, véase la tesis de jurisprudencia del Tribunal Pleno número P./J.</w:t>
      </w:r>
      <w:r w:rsidRPr="00FC05A9">
        <w:rPr>
          <w:rFonts w:ascii="Arial" w:hAnsi="Arial" w:cs="Arial"/>
        </w:rPr>
        <w:t>36/2004</w:t>
      </w:r>
      <w:r>
        <w:rPr>
          <w:rFonts w:ascii="Arial" w:hAnsi="Arial" w:cs="Arial"/>
        </w:rPr>
        <w:t xml:space="preserve">, cuyo rubro es: </w:t>
      </w:r>
      <w:r>
        <w:rPr>
          <w:rFonts w:ascii="Arial" w:hAnsi="Arial" w:cs="Arial"/>
          <w:b/>
          <w:bCs/>
        </w:rPr>
        <w:t>“</w:t>
      </w:r>
      <w:r w:rsidRPr="00D01916">
        <w:rPr>
          <w:rFonts w:ascii="Arial" w:hAnsi="Arial" w:cs="Arial"/>
          <w:b/>
        </w:rPr>
        <w:t>ACCIÓN DE INCONSTITUCIONALIDAD. SI SE HACE VALER UNA CAUSAL DE IMPROCEDENCIA QUE INVOLUCRA EL ESTUDIO DE FONDO, DEBERÁ DESESTIMARSE</w:t>
      </w:r>
      <w:r>
        <w:rPr>
          <w:rFonts w:ascii="Arial" w:hAnsi="Arial" w:cs="Arial"/>
          <w:b/>
        </w:rPr>
        <w:t>.”</w:t>
      </w:r>
      <w:r w:rsidR="00D15D7A" w:rsidRPr="00D15D7A">
        <w:rPr>
          <w:rFonts w:ascii="Arial" w:hAnsi="Arial" w:cs="Arial"/>
          <w:bCs/>
        </w:rPr>
        <w:t>,</w:t>
      </w:r>
      <w:r>
        <w:rPr>
          <w:rFonts w:ascii="Arial" w:hAnsi="Arial" w:cs="Arial"/>
        </w:rPr>
        <w:t xml:space="preserve"> </w:t>
      </w:r>
      <w:r w:rsidRPr="00D805C3">
        <w:rPr>
          <w:rFonts w:ascii="Arial" w:hAnsi="Arial" w:cs="Arial"/>
          <w:i/>
        </w:rPr>
        <w:t>Semanario Judicial de la Federación y su Gaceta</w:t>
      </w:r>
      <w:r>
        <w:rPr>
          <w:rFonts w:ascii="Arial" w:hAnsi="Arial" w:cs="Arial"/>
        </w:rPr>
        <w:t>, novena época, tomo XIX, junio de dos mil cuatro, pág. 865.</w:t>
      </w:r>
    </w:p>
  </w:footnote>
  <w:footnote w:id="28">
    <w:p w14:paraId="46C94969" w14:textId="6E848B52" w:rsidR="00886B5D" w:rsidRPr="00F87AAA" w:rsidRDefault="00886B5D" w:rsidP="00886B5D">
      <w:pPr>
        <w:pStyle w:val="Textonotapie"/>
        <w:jc w:val="both"/>
        <w:rPr>
          <w:rFonts w:ascii="Arial" w:hAnsi="Arial" w:cs="Arial"/>
          <w:lang w:val="es-ES_tradnl"/>
        </w:rPr>
      </w:pPr>
      <w:r>
        <w:rPr>
          <w:rStyle w:val="Refdenotaalpie"/>
          <w:rFonts w:ascii="Arial" w:hAnsi="Arial" w:cs="Arial"/>
        </w:rPr>
        <w:footnoteRef/>
      </w:r>
      <w:r>
        <w:rPr>
          <w:rFonts w:ascii="Arial" w:hAnsi="Arial" w:cs="Arial"/>
        </w:rPr>
        <w:t xml:space="preserve"> Véase </w:t>
      </w:r>
      <w:r>
        <w:rPr>
          <w:rFonts w:ascii="Arial" w:hAnsi="Arial" w:cs="Arial"/>
          <w:i/>
        </w:rPr>
        <w:t>s</w:t>
      </w:r>
      <w:r w:rsidRPr="0060251F">
        <w:rPr>
          <w:rFonts w:ascii="Arial" w:hAnsi="Arial" w:cs="Arial"/>
          <w:i/>
        </w:rPr>
        <w:t>upra</w:t>
      </w:r>
      <w:r>
        <w:rPr>
          <w:rFonts w:ascii="Arial" w:hAnsi="Arial" w:cs="Arial"/>
        </w:rPr>
        <w:t xml:space="preserve"> nota 2</w:t>
      </w:r>
      <w:r w:rsidR="00056C7A">
        <w:rPr>
          <w:rFonts w:ascii="Arial" w:hAnsi="Arial" w:cs="Arial"/>
        </w:rPr>
        <w:t>4</w:t>
      </w:r>
      <w:r w:rsidRPr="005212D4">
        <w:rPr>
          <w:rFonts w:ascii="Arial" w:hAnsi="Arial" w:cs="Arial"/>
        </w:rPr>
        <w:t>.</w:t>
      </w:r>
    </w:p>
  </w:footnote>
  <w:footnote w:id="29">
    <w:p w14:paraId="33121CB5" w14:textId="77777777" w:rsidR="00886B5D" w:rsidRDefault="00886B5D" w:rsidP="00886B5D">
      <w:pPr>
        <w:pStyle w:val="Textonotapie"/>
      </w:pPr>
      <w:r>
        <w:rPr>
          <w:rStyle w:val="Refdenotaalpie"/>
        </w:rPr>
        <w:footnoteRef/>
      </w:r>
      <w:r>
        <w:t xml:space="preserve"> </w:t>
      </w:r>
      <w:r w:rsidRPr="009E2E05">
        <w:rPr>
          <w:rFonts w:ascii="Arial" w:hAnsi="Arial" w:cs="Arial"/>
        </w:rPr>
        <w:t xml:space="preserve">Véase el expediente electrónico de la </w:t>
      </w:r>
      <w:r>
        <w:rPr>
          <w:rFonts w:ascii="Arial" w:hAnsi="Arial" w:cs="Arial"/>
        </w:rPr>
        <w:t>acción de inconstitucionalidad</w:t>
      </w:r>
      <w:r w:rsidRPr="009E2E05">
        <w:rPr>
          <w:rFonts w:ascii="Arial" w:hAnsi="Arial" w:cs="Arial"/>
        </w:rPr>
        <w:t xml:space="preserve"> </w:t>
      </w:r>
      <w:r>
        <w:rPr>
          <w:rFonts w:ascii="Arial" w:hAnsi="Arial" w:cs="Arial"/>
        </w:rPr>
        <w:t>152</w:t>
      </w:r>
      <w:r w:rsidRPr="009E2E05">
        <w:rPr>
          <w:rFonts w:ascii="Arial" w:hAnsi="Arial" w:cs="Arial"/>
        </w:rPr>
        <w:t>/202</w:t>
      </w:r>
      <w:r>
        <w:rPr>
          <w:rFonts w:ascii="Arial" w:hAnsi="Arial" w:cs="Arial"/>
        </w:rPr>
        <w:t>1</w:t>
      </w:r>
      <w:r w:rsidRPr="009E2E05">
        <w:rPr>
          <w:rFonts w:ascii="Arial" w:hAnsi="Arial" w:cs="Arial"/>
        </w:rPr>
        <w:t>, escrito inicial de demanda.</w:t>
      </w:r>
    </w:p>
  </w:footnote>
  <w:footnote w:id="30">
    <w:p w14:paraId="1E1EB070" w14:textId="5826E1D0" w:rsidR="00532B1D" w:rsidRDefault="00532B1D" w:rsidP="00532B1D">
      <w:pPr>
        <w:pStyle w:val="Textonotapie"/>
      </w:pPr>
      <w:r>
        <w:rPr>
          <w:rStyle w:val="Refdenotaalpie"/>
        </w:rPr>
        <w:footnoteRef/>
      </w:r>
      <w:r>
        <w:t xml:space="preserve"> </w:t>
      </w:r>
      <w:r w:rsidRPr="009E2E05">
        <w:rPr>
          <w:rFonts w:ascii="Arial" w:hAnsi="Arial" w:cs="Arial"/>
        </w:rPr>
        <w:t xml:space="preserve">Véase </w:t>
      </w:r>
      <w:r w:rsidRPr="009A5809">
        <w:rPr>
          <w:rFonts w:ascii="Arial" w:hAnsi="Arial" w:cs="Arial"/>
          <w:i/>
          <w:iCs/>
        </w:rPr>
        <w:t>íd</w:t>
      </w:r>
      <w:r>
        <w:rPr>
          <w:rFonts w:ascii="Arial" w:hAnsi="Arial" w:cs="Arial"/>
          <w:i/>
          <w:iCs/>
        </w:rPr>
        <w:t>em</w:t>
      </w:r>
      <w:r w:rsidRPr="009A5809">
        <w:rPr>
          <w:rFonts w:ascii="Arial" w:hAnsi="Arial" w:cs="Arial"/>
          <w:i/>
          <w:iCs/>
        </w:rPr>
        <w:t>.</w:t>
      </w:r>
    </w:p>
  </w:footnote>
  <w:footnote w:id="31">
    <w:p w14:paraId="761C5209" w14:textId="77777777" w:rsidR="00886B5D" w:rsidRPr="003A75BB" w:rsidRDefault="00886B5D" w:rsidP="00886B5D">
      <w:pPr>
        <w:pStyle w:val="Textonotapie"/>
        <w:jc w:val="both"/>
        <w:rPr>
          <w:rFonts w:ascii="Arial" w:hAnsi="Arial" w:cs="Arial"/>
        </w:rPr>
      </w:pPr>
      <w:r w:rsidRPr="003A75BB">
        <w:rPr>
          <w:rStyle w:val="Refdenotaalpie"/>
          <w:rFonts w:ascii="Arial" w:hAnsi="Arial" w:cs="Arial"/>
        </w:rPr>
        <w:footnoteRef/>
      </w:r>
      <w:r w:rsidRPr="003A75BB">
        <w:rPr>
          <w:rFonts w:ascii="Arial" w:hAnsi="Arial" w:cs="Arial"/>
        </w:rPr>
        <w:t xml:space="preserve"> Véase </w:t>
      </w:r>
      <w:r w:rsidRPr="009A5809">
        <w:rPr>
          <w:rFonts w:ascii="Arial" w:hAnsi="Arial" w:cs="Arial"/>
          <w:i/>
          <w:iCs/>
        </w:rPr>
        <w:t>ibíd.</w:t>
      </w:r>
      <w:r w:rsidRPr="003A75BB">
        <w:rPr>
          <w:rFonts w:ascii="Arial" w:hAnsi="Arial" w:cs="Arial"/>
        </w:rPr>
        <w:t xml:space="preserve">, informes del </w:t>
      </w:r>
      <w:r w:rsidRPr="003A75BB">
        <w:rPr>
          <w:rFonts w:ascii="Arial" w:eastAsia="Times New Roman" w:hAnsi="Arial" w:cs="Arial"/>
          <w:lang w:eastAsia="es-MX"/>
        </w:rPr>
        <w:t>Instituto Estatal Electoral y de Participación Ciudadana y del Tribunal Electoral de Oaxaca</w:t>
      </w:r>
      <w:r w:rsidRPr="003A75BB">
        <w:rPr>
          <w:rFonts w:ascii="Arial" w:hAnsi="Arial" w:cs="Arial"/>
        </w:rPr>
        <w:t>.</w:t>
      </w:r>
    </w:p>
  </w:footnote>
  <w:footnote w:id="32">
    <w:p w14:paraId="6F6B52E6" w14:textId="47E36344" w:rsidR="00A54732" w:rsidRPr="00F87AAA" w:rsidRDefault="00A54732" w:rsidP="00A54732">
      <w:pPr>
        <w:pStyle w:val="Textonotapie"/>
        <w:jc w:val="both"/>
        <w:rPr>
          <w:rFonts w:ascii="Arial" w:hAnsi="Arial" w:cs="Arial"/>
          <w:lang w:val="es-ES_tradnl"/>
        </w:rPr>
      </w:pPr>
      <w:r>
        <w:rPr>
          <w:rStyle w:val="Refdenotaalpie"/>
          <w:rFonts w:ascii="Arial" w:hAnsi="Arial" w:cs="Arial"/>
        </w:rPr>
        <w:footnoteRef/>
      </w:r>
      <w:r>
        <w:rPr>
          <w:rFonts w:ascii="Arial" w:hAnsi="Arial" w:cs="Arial"/>
        </w:rPr>
        <w:t xml:space="preserve"> Véase </w:t>
      </w:r>
      <w:r w:rsidRPr="00A54732">
        <w:rPr>
          <w:rFonts w:ascii="Arial" w:hAnsi="Arial" w:cs="Arial"/>
          <w:i/>
          <w:iCs/>
        </w:rPr>
        <w:t>supra</w:t>
      </w:r>
      <w:r>
        <w:rPr>
          <w:rFonts w:ascii="Arial" w:hAnsi="Arial" w:cs="Arial"/>
        </w:rPr>
        <w:t xml:space="preserve"> nota 24.  </w:t>
      </w:r>
    </w:p>
  </w:footnote>
  <w:footnote w:id="33">
    <w:p w14:paraId="2623AD00" w14:textId="3531DA8B" w:rsidR="00D407FF" w:rsidRPr="002E578A" w:rsidRDefault="00426516" w:rsidP="00F63098">
      <w:pPr>
        <w:pStyle w:val="corte4fondo"/>
        <w:tabs>
          <w:tab w:val="left" w:pos="0"/>
        </w:tabs>
        <w:spacing w:line="240" w:lineRule="auto"/>
        <w:ind w:firstLine="0"/>
        <w:rPr>
          <w:rFonts w:cs="Arial"/>
          <w:sz w:val="20"/>
        </w:rPr>
      </w:pPr>
      <w:r w:rsidRPr="00426516">
        <w:rPr>
          <w:rStyle w:val="Refdenotaalpie"/>
          <w:rFonts w:cs="Arial"/>
          <w:sz w:val="20"/>
        </w:rPr>
        <w:footnoteRef/>
      </w:r>
      <w:r w:rsidRPr="00426516">
        <w:rPr>
          <w:rFonts w:cs="Arial"/>
          <w:sz w:val="20"/>
        </w:rPr>
        <w:t xml:space="preserve"> </w:t>
      </w:r>
      <w:r w:rsidR="00D407FF" w:rsidRPr="002E578A">
        <w:rPr>
          <w:rFonts w:cs="Arial"/>
          <w:b/>
          <w:bCs/>
          <w:sz w:val="20"/>
        </w:rPr>
        <w:t>Artículo 116.</w:t>
      </w:r>
      <w:r w:rsidR="00D407FF" w:rsidRPr="002E578A">
        <w:rPr>
          <w:rFonts w:cs="Arial"/>
          <w:sz w:val="20"/>
        </w:rPr>
        <w:t xml:space="preserve"> El poder público de los estados se dividirá, para su ejercicio, en Ejecutivo, Legislativo y Judicial, y no podrán reunirse dos o más de estos poderes en una sola persona o corporación, ni depositarse el legislativo en un solo individuo. […]</w:t>
      </w:r>
    </w:p>
    <w:p w14:paraId="41B0A9B3" w14:textId="77777777" w:rsidR="00D407FF" w:rsidRPr="002E578A" w:rsidRDefault="00D407FF" w:rsidP="00D407FF">
      <w:pPr>
        <w:spacing w:after="0" w:line="240" w:lineRule="auto"/>
        <w:rPr>
          <w:sz w:val="20"/>
          <w:szCs w:val="20"/>
          <w:lang w:val="es-ES_tradnl"/>
        </w:rPr>
      </w:pPr>
      <w:r w:rsidRPr="002E578A">
        <w:rPr>
          <w:sz w:val="20"/>
          <w:szCs w:val="20"/>
        </w:rPr>
        <w:t>IV. De conformidad con las bases establecidas en esta Constitución y las leyes generales en la materia, las Constituciones y leyes de los Estados en materia electoral, garantizarán que:</w:t>
      </w:r>
    </w:p>
    <w:p w14:paraId="316B038E" w14:textId="77777777" w:rsidR="00D407FF" w:rsidRPr="002E578A" w:rsidRDefault="00D407FF" w:rsidP="00D407FF">
      <w:pPr>
        <w:spacing w:after="0" w:line="240" w:lineRule="auto"/>
        <w:rPr>
          <w:sz w:val="20"/>
          <w:szCs w:val="20"/>
        </w:rPr>
      </w:pPr>
      <w:r w:rsidRPr="002E578A">
        <w:rPr>
          <w:sz w:val="20"/>
          <w:szCs w:val="20"/>
        </w:rPr>
        <w:t xml:space="preserve">c)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14:paraId="71743C05" w14:textId="77777777" w:rsidR="00D407FF" w:rsidRPr="002E578A" w:rsidRDefault="00D407FF" w:rsidP="00D407FF">
      <w:pPr>
        <w:spacing w:after="0" w:line="240" w:lineRule="auto"/>
        <w:rPr>
          <w:sz w:val="20"/>
          <w:szCs w:val="20"/>
        </w:rPr>
      </w:pPr>
      <w:r w:rsidRPr="002E578A">
        <w:rPr>
          <w:sz w:val="20"/>
          <w:szCs w:val="20"/>
        </w:rPr>
        <w:t xml:space="preserve">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p w14:paraId="132F7911" w14:textId="77777777" w:rsidR="00D407FF" w:rsidRPr="002E578A" w:rsidRDefault="00D407FF" w:rsidP="00D407FF">
      <w:pPr>
        <w:spacing w:after="0" w:line="240" w:lineRule="auto"/>
        <w:rPr>
          <w:sz w:val="20"/>
          <w:szCs w:val="20"/>
        </w:rPr>
      </w:pPr>
      <w:r w:rsidRPr="002E578A">
        <w:rPr>
          <w:sz w:val="20"/>
          <w:szCs w:val="20"/>
        </w:rPr>
        <w:t xml:space="preserve">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 </w:t>
      </w:r>
    </w:p>
    <w:p w14:paraId="1F442E5C" w14:textId="77777777" w:rsidR="00D407FF" w:rsidRPr="002E578A" w:rsidRDefault="00D407FF" w:rsidP="00D407FF">
      <w:pPr>
        <w:spacing w:after="0" w:line="240" w:lineRule="auto"/>
        <w:rPr>
          <w:sz w:val="20"/>
          <w:szCs w:val="20"/>
        </w:rPr>
      </w:pPr>
      <w:r w:rsidRPr="002E578A">
        <w:rPr>
          <w:sz w:val="20"/>
          <w:szCs w:val="20"/>
        </w:rPr>
        <w:t xml:space="preserve">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 </w:t>
      </w:r>
    </w:p>
    <w:p w14:paraId="15B34735" w14:textId="77777777" w:rsidR="00D407FF" w:rsidRPr="002E578A" w:rsidRDefault="00D407FF" w:rsidP="00D407FF">
      <w:pPr>
        <w:spacing w:after="0" w:line="240" w:lineRule="auto"/>
        <w:rPr>
          <w:sz w:val="20"/>
          <w:szCs w:val="20"/>
        </w:rPr>
      </w:pPr>
      <w:r w:rsidRPr="002E578A">
        <w:rPr>
          <w:sz w:val="20"/>
          <w:szCs w:val="20"/>
        </w:rPr>
        <w:t xml:space="preserve">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p w14:paraId="19BF702F" w14:textId="77777777" w:rsidR="00D407FF" w:rsidRPr="002E578A" w:rsidRDefault="00D407FF" w:rsidP="00D407FF">
      <w:pPr>
        <w:spacing w:after="0" w:line="240" w:lineRule="auto"/>
        <w:rPr>
          <w:sz w:val="20"/>
          <w:szCs w:val="20"/>
        </w:rPr>
      </w:pPr>
      <w:r w:rsidRPr="002E578A">
        <w:rPr>
          <w:sz w:val="20"/>
          <w:szCs w:val="20"/>
        </w:rP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p w14:paraId="603F69D4" w14:textId="77777777" w:rsidR="00D407FF" w:rsidRPr="002E578A" w:rsidRDefault="00D407FF" w:rsidP="00D407FF">
      <w:pPr>
        <w:spacing w:after="0" w:line="240" w:lineRule="auto"/>
        <w:rPr>
          <w:sz w:val="20"/>
          <w:szCs w:val="20"/>
        </w:rPr>
      </w:pPr>
      <w:r w:rsidRPr="002E578A">
        <w:rPr>
          <w:sz w:val="20"/>
          <w:szCs w:val="20"/>
        </w:rPr>
        <w:t xml:space="preserve">6o. Los organismos públicos locales electorales contarán con servidores públicos investidos de fé pública para actos de naturaleza electoral, cuyas atribuciones y funcionamiento serán reguladas por la ley. </w:t>
      </w:r>
    </w:p>
    <w:p w14:paraId="0B24FF6F" w14:textId="0F2B3BA7" w:rsidR="00426516" w:rsidRPr="00426516" w:rsidRDefault="00D407FF" w:rsidP="00D407FF">
      <w:pPr>
        <w:pStyle w:val="corte4fondo"/>
        <w:tabs>
          <w:tab w:val="left" w:pos="0"/>
        </w:tabs>
        <w:spacing w:line="240" w:lineRule="auto"/>
        <w:ind w:firstLine="0"/>
        <w:rPr>
          <w:rFonts w:cs="Arial"/>
          <w:sz w:val="20"/>
        </w:rPr>
      </w:pPr>
      <w:r w:rsidRPr="002E578A">
        <w:rPr>
          <w:rFonts w:cs="Arial"/>
          <w:sz w:val="20"/>
        </w:rPr>
        <w:t>7o. Las impugnaciones en contra de los actos que, conforme a la base V del artículo 41 de esta Constitució</w:t>
      </w:r>
      <w:r w:rsidRPr="00426516">
        <w:rPr>
          <w:rFonts w:cs="Arial"/>
          <w:sz w:val="20"/>
        </w:rPr>
        <w:t>n, realice el Instituto Nacional Electoral con motivo de los procesos electorales locales, serán resueltas por el Tribunal Electoral del Poder Judicial de la Federación, conforme lo determine la ley.</w:t>
      </w:r>
    </w:p>
  </w:footnote>
  <w:footnote w:id="34">
    <w:p w14:paraId="0ACFF9D4" w14:textId="7AEC0BEB" w:rsidR="007766D5" w:rsidRPr="00426516" w:rsidRDefault="007766D5" w:rsidP="007766D5">
      <w:pPr>
        <w:pStyle w:val="Textonotapie"/>
        <w:rPr>
          <w:rFonts w:ascii="Arial" w:hAnsi="Arial" w:cs="Arial"/>
        </w:rPr>
      </w:pPr>
      <w:r w:rsidRPr="00426516">
        <w:rPr>
          <w:rStyle w:val="Refdenotaalpie"/>
          <w:rFonts w:ascii="Arial" w:hAnsi="Arial" w:cs="Arial"/>
        </w:rPr>
        <w:footnoteRef/>
      </w:r>
      <w:r w:rsidRPr="00426516">
        <w:rPr>
          <w:rFonts w:ascii="Arial" w:hAnsi="Arial" w:cs="Arial"/>
        </w:rPr>
        <w:t xml:space="preserve"> Véase la acción de inconstitucionalidad 53/2015 y sus acumuladas, </w:t>
      </w:r>
      <w:r w:rsidR="00E96E52" w:rsidRPr="00426516">
        <w:rPr>
          <w:rFonts w:ascii="Arial" w:hAnsi="Arial" w:cs="Arial"/>
        </w:rPr>
        <w:t>párrs.</w:t>
      </w:r>
      <w:r w:rsidRPr="00426516">
        <w:rPr>
          <w:rFonts w:ascii="Arial" w:hAnsi="Arial" w:cs="Arial"/>
        </w:rPr>
        <w:t xml:space="preserve"> </w:t>
      </w:r>
      <w:r w:rsidR="00E96E52" w:rsidRPr="00426516">
        <w:rPr>
          <w:rFonts w:ascii="Arial" w:hAnsi="Arial" w:cs="Arial"/>
        </w:rPr>
        <w:t>209 a 213.</w:t>
      </w:r>
    </w:p>
  </w:footnote>
  <w:footnote w:id="35">
    <w:p w14:paraId="73EDD341" w14:textId="56EC4958" w:rsidR="00F9072A" w:rsidRPr="00426516" w:rsidRDefault="00F9072A" w:rsidP="00F9072A">
      <w:pPr>
        <w:spacing w:line="240" w:lineRule="auto"/>
        <w:rPr>
          <w:sz w:val="20"/>
          <w:szCs w:val="20"/>
          <w:lang w:val="es-ES_tradnl"/>
        </w:rPr>
      </w:pPr>
      <w:r w:rsidRPr="00426516">
        <w:rPr>
          <w:rStyle w:val="Refdenotaalpie"/>
          <w:sz w:val="20"/>
          <w:szCs w:val="20"/>
        </w:rPr>
        <w:footnoteRef/>
      </w:r>
      <w:r w:rsidRPr="00426516">
        <w:rPr>
          <w:sz w:val="20"/>
          <w:szCs w:val="20"/>
        </w:rPr>
        <w:t xml:space="preserve"> </w:t>
      </w:r>
      <w:r w:rsidRPr="00426516">
        <w:rPr>
          <w:sz w:val="20"/>
          <w:szCs w:val="20"/>
          <w:lang w:val="es-ES_tradnl"/>
        </w:rPr>
        <w:t>Véase la jurisprudencia del Pleno P./J. 13/2008</w:t>
      </w:r>
      <w:r w:rsidRPr="00426516">
        <w:rPr>
          <w:rFonts w:eastAsia="Times New Roman"/>
          <w:sz w:val="20"/>
          <w:szCs w:val="20"/>
          <w:lang w:val="es-ES_tradnl" w:eastAsia="x-none"/>
        </w:rPr>
        <w:t xml:space="preserve">, </w:t>
      </w:r>
      <w:r w:rsidRPr="00426516">
        <w:rPr>
          <w:sz w:val="20"/>
          <w:szCs w:val="20"/>
          <w:lang w:val="es-ES_tradnl"/>
        </w:rPr>
        <w:t xml:space="preserve">cuyo rubro es: </w:t>
      </w:r>
      <w:r w:rsidRPr="00426516">
        <w:rPr>
          <w:b/>
          <w:bCs/>
          <w:sz w:val="20"/>
          <w:szCs w:val="20"/>
          <w:lang w:val="es-ES_tradnl"/>
        </w:rPr>
        <w:t>“ÓRGANOS AUTÓNOMOS ESTATALES. PUEDEN ESTABLECERSE EN LOS REGÍMENES LOCALES.”</w:t>
      </w:r>
      <w:r w:rsidR="003A31C7" w:rsidRPr="00426516">
        <w:rPr>
          <w:sz w:val="20"/>
          <w:szCs w:val="20"/>
          <w:lang w:val="es-ES_tradnl"/>
        </w:rPr>
        <w:t>,</w:t>
      </w:r>
      <w:r w:rsidRPr="00426516">
        <w:rPr>
          <w:sz w:val="20"/>
          <w:szCs w:val="20"/>
          <w:lang w:val="es-ES_tradnl"/>
        </w:rPr>
        <w:t xml:space="preserve"> </w:t>
      </w:r>
      <w:r w:rsidRPr="00426516">
        <w:rPr>
          <w:i/>
          <w:iCs/>
          <w:sz w:val="20"/>
          <w:szCs w:val="20"/>
          <w:lang w:val="es-ES_tradnl"/>
        </w:rPr>
        <w:t>Semanario Judicial de la Federación y su Gaceta</w:t>
      </w:r>
      <w:r w:rsidR="003A31C7" w:rsidRPr="00426516">
        <w:rPr>
          <w:sz w:val="20"/>
          <w:szCs w:val="20"/>
          <w:lang w:val="es-ES_tradnl"/>
        </w:rPr>
        <w:t>,</w:t>
      </w:r>
      <w:r w:rsidRPr="00426516">
        <w:rPr>
          <w:sz w:val="20"/>
          <w:szCs w:val="20"/>
          <w:lang w:val="es-ES_tradnl"/>
        </w:rPr>
        <w:t xml:space="preserve"> </w:t>
      </w:r>
      <w:r w:rsidR="003A31C7" w:rsidRPr="00426516">
        <w:rPr>
          <w:sz w:val="20"/>
          <w:szCs w:val="20"/>
          <w:lang w:val="es-ES_tradnl"/>
        </w:rPr>
        <w:t>t</w:t>
      </w:r>
      <w:r w:rsidRPr="00426516">
        <w:rPr>
          <w:sz w:val="20"/>
          <w:szCs w:val="20"/>
          <w:lang w:val="es-ES_tradnl"/>
        </w:rPr>
        <w:t>omo XXVII, febrero de dos mil ocho, pág</w:t>
      </w:r>
      <w:r w:rsidR="00CC4093" w:rsidRPr="00426516">
        <w:rPr>
          <w:sz w:val="20"/>
          <w:szCs w:val="20"/>
          <w:lang w:val="es-ES_tradnl"/>
        </w:rPr>
        <w:t>.</w:t>
      </w:r>
      <w:r w:rsidRPr="00426516">
        <w:rPr>
          <w:sz w:val="20"/>
          <w:szCs w:val="20"/>
          <w:lang w:val="es-ES_tradnl"/>
        </w:rPr>
        <w:t xml:space="preserve"> 1870.</w:t>
      </w:r>
    </w:p>
  </w:footnote>
  <w:footnote w:id="36">
    <w:p w14:paraId="06D9D2B8" w14:textId="69458A24" w:rsidR="00B67383" w:rsidRPr="00426516" w:rsidRDefault="00B67383" w:rsidP="00B67383">
      <w:pPr>
        <w:pStyle w:val="Estilo"/>
        <w:rPr>
          <w:rFonts w:cs="Arial"/>
          <w:sz w:val="20"/>
          <w:szCs w:val="20"/>
        </w:rPr>
      </w:pPr>
      <w:r w:rsidRPr="00426516">
        <w:rPr>
          <w:rStyle w:val="Refdenotaalpie"/>
          <w:rFonts w:cs="Arial"/>
          <w:sz w:val="20"/>
          <w:szCs w:val="20"/>
        </w:rPr>
        <w:footnoteRef/>
      </w:r>
      <w:r w:rsidRPr="00426516">
        <w:rPr>
          <w:rFonts w:cs="Arial"/>
          <w:sz w:val="20"/>
          <w:szCs w:val="20"/>
        </w:rPr>
        <w:t xml:space="preserve"> Véase la </w:t>
      </w:r>
      <w:r w:rsidR="004636BC" w:rsidRPr="00426516">
        <w:rPr>
          <w:rFonts w:cs="Arial"/>
          <w:sz w:val="20"/>
          <w:szCs w:val="20"/>
        </w:rPr>
        <w:t xml:space="preserve">jurisprudencia del Pleno </w:t>
      </w:r>
      <w:r w:rsidRPr="00426516">
        <w:rPr>
          <w:rFonts w:cs="Arial"/>
          <w:sz w:val="20"/>
          <w:szCs w:val="20"/>
        </w:rPr>
        <w:t>P./J. 20/2007</w:t>
      </w:r>
      <w:r w:rsidR="004636BC" w:rsidRPr="00426516">
        <w:rPr>
          <w:rFonts w:cs="Arial"/>
          <w:sz w:val="20"/>
          <w:szCs w:val="20"/>
        </w:rPr>
        <w:t>,</w:t>
      </w:r>
      <w:r w:rsidRPr="00426516">
        <w:rPr>
          <w:rFonts w:cs="Arial"/>
          <w:sz w:val="20"/>
          <w:szCs w:val="20"/>
        </w:rPr>
        <w:t xml:space="preserve"> </w:t>
      </w:r>
      <w:r w:rsidR="004636BC" w:rsidRPr="00426516">
        <w:rPr>
          <w:rFonts w:cs="Arial"/>
          <w:sz w:val="20"/>
          <w:szCs w:val="20"/>
        </w:rPr>
        <w:t>cuyo</w:t>
      </w:r>
      <w:r w:rsidRPr="00426516">
        <w:rPr>
          <w:rFonts w:cs="Arial"/>
          <w:sz w:val="20"/>
          <w:szCs w:val="20"/>
        </w:rPr>
        <w:t xml:space="preserve"> rubro</w:t>
      </w:r>
      <w:r w:rsidR="004636BC" w:rsidRPr="00426516">
        <w:rPr>
          <w:rFonts w:cs="Arial"/>
          <w:sz w:val="20"/>
          <w:szCs w:val="20"/>
        </w:rPr>
        <w:t xml:space="preserve"> es:</w:t>
      </w:r>
      <w:r w:rsidRPr="00426516">
        <w:rPr>
          <w:rFonts w:cs="Arial"/>
          <w:sz w:val="20"/>
          <w:szCs w:val="20"/>
        </w:rPr>
        <w:t xml:space="preserve"> “</w:t>
      </w:r>
      <w:r w:rsidRPr="00426516">
        <w:rPr>
          <w:rFonts w:cs="Arial"/>
          <w:b/>
          <w:sz w:val="20"/>
          <w:szCs w:val="20"/>
        </w:rPr>
        <w:t xml:space="preserve">ÓRGANOS CONSTITUCIONALES AUTÓNOMOS. NOTAS DISTINTIVAS Y CARACTERÍSTICAS.”, </w:t>
      </w:r>
      <w:r w:rsidRPr="00426516">
        <w:rPr>
          <w:rFonts w:cs="Arial"/>
          <w:i/>
          <w:iCs/>
          <w:sz w:val="20"/>
          <w:szCs w:val="20"/>
        </w:rPr>
        <w:t>Semanario Judicial de la Federación y su Gaceta</w:t>
      </w:r>
      <w:r w:rsidRPr="00426516">
        <w:rPr>
          <w:rFonts w:cs="Arial"/>
          <w:sz w:val="20"/>
          <w:szCs w:val="20"/>
        </w:rPr>
        <w:t>, tomo XXV, mayo de dos mil siete, pág. 1647.</w:t>
      </w:r>
    </w:p>
  </w:footnote>
  <w:footnote w:id="37">
    <w:p w14:paraId="4900D6E6" w14:textId="77777777" w:rsidR="008F632E" w:rsidRPr="008F632E" w:rsidRDefault="008F632E" w:rsidP="008F632E">
      <w:pPr>
        <w:pStyle w:val="Estilo"/>
        <w:rPr>
          <w:rFonts w:cs="Arial"/>
          <w:sz w:val="20"/>
          <w:szCs w:val="20"/>
        </w:rPr>
      </w:pPr>
      <w:r w:rsidRPr="008F632E">
        <w:rPr>
          <w:rStyle w:val="Refdenotaalpie"/>
          <w:rFonts w:cs="Arial"/>
          <w:sz w:val="20"/>
          <w:szCs w:val="20"/>
        </w:rPr>
        <w:footnoteRef/>
      </w:r>
      <w:r w:rsidRPr="008F632E">
        <w:rPr>
          <w:rFonts w:cs="Arial"/>
          <w:sz w:val="20"/>
          <w:szCs w:val="20"/>
        </w:rPr>
        <w:t xml:space="preserve"> </w:t>
      </w:r>
      <w:r w:rsidRPr="008F632E">
        <w:rPr>
          <w:rFonts w:cs="Arial"/>
          <w:b/>
          <w:sz w:val="20"/>
          <w:szCs w:val="20"/>
        </w:rPr>
        <w:t>Art</w:t>
      </w:r>
      <w:r>
        <w:rPr>
          <w:rFonts w:cs="Arial"/>
          <w:b/>
          <w:sz w:val="20"/>
          <w:szCs w:val="20"/>
        </w:rPr>
        <w:t>ículo</w:t>
      </w:r>
      <w:r w:rsidRPr="008F632E">
        <w:rPr>
          <w:rFonts w:cs="Arial"/>
          <w:b/>
          <w:sz w:val="20"/>
          <w:szCs w:val="20"/>
        </w:rPr>
        <w:t xml:space="preserve"> 41.</w:t>
      </w:r>
      <w:r w:rsidRPr="008F632E">
        <w:rPr>
          <w:rFonts w:cs="Arial"/>
          <w:sz w:val="20"/>
          <w:szCs w:val="20"/>
        </w:rPr>
        <w:t xml:space="preserve">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14:paraId="40411550" w14:textId="77777777" w:rsidR="008F632E" w:rsidRPr="008F632E" w:rsidRDefault="008F632E" w:rsidP="008F632E">
      <w:pPr>
        <w:pStyle w:val="Estilo"/>
        <w:rPr>
          <w:rFonts w:cs="Arial"/>
          <w:sz w:val="20"/>
          <w:szCs w:val="20"/>
        </w:rPr>
      </w:pPr>
      <w:r w:rsidRPr="008F632E">
        <w:rPr>
          <w:rFonts w:cs="Arial"/>
          <w:sz w:val="20"/>
          <w:szCs w:val="20"/>
        </w:rPr>
        <w:t>La renovación de los poderes Legislativo y Ejecutivo se realizará mediante elecciones libres, auténticas y periódicas, conforme a las siguientes bases:</w:t>
      </w:r>
    </w:p>
    <w:p w14:paraId="1BDB7D26" w14:textId="77777777" w:rsidR="008F632E" w:rsidRPr="008F632E" w:rsidRDefault="008F632E" w:rsidP="008F632E">
      <w:pPr>
        <w:pStyle w:val="Estilo"/>
        <w:rPr>
          <w:rFonts w:cs="Arial"/>
          <w:sz w:val="20"/>
          <w:szCs w:val="20"/>
        </w:rPr>
      </w:pPr>
      <w:r w:rsidRPr="008F632E">
        <w:rPr>
          <w:rFonts w:cs="Arial"/>
          <w:sz w:val="20"/>
          <w:szCs w:val="20"/>
        </w:rPr>
        <w:t>[…]</w:t>
      </w:r>
    </w:p>
    <w:p w14:paraId="4E5CE189" w14:textId="77777777" w:rsidR="008F632E" w:rsidRPr="008F632E" w:rsidRDefault="008F632E" w:rsidP="008F632E">
      <w:pPr>
        <w:pStyle w:val="Estilo"/>
        <w:rPr>
          <w:rFonts w:cs="Arial"/>
          <w:sz w:val="20"/>
          <w:szCs w:val="20"/>
        </w:rPr>
      </w:pPr>
      <w:r w:rsidRPr="008F632E">
        <w:rPr>
          <w:rFonts w:cs="Arial"/>
          <w:sz w:val="20"/>
          <w:szCs w:val="20"/>
        </w:rPr>
        <w:t>V. La organización de las elecciones es una función estatal que se realiza a través del Instituto Nacional Electoral y de los organismos públicos locales, en los términos que establece esta Constitución.</w:t>
      </w:r>
    </w:p>
    <w:p w14:paraId="5C453097" w14:textId="77777777" w:rsidR="008F632E" w:rsidRPr="008F632E" w:rsidRDefault="008F632E" w:rsidP="008F632E">
      <w:pPr>
        <w:pStyle w:val="Estilo"/>
        <w:rPr>
          <w:rFonts w:cs="Arial"/>
          <w:sz w:val="20"/>
          <w:szCs w:val="20"/>
        </w:rPr>
      </w:pPr>
      <w:r w:rsidRPr="008F632E">
        <w:rPr>
          <w:rFonts w:cs="Arial"/>
          <w:sz w:val="20"/>
          <w:szCs w:val="20"/>
        </w:rPr>
        <w:t>[…]</w:t>
      </w:r>
    </w:p>
    <w:p w14:paraId="6565F94E" w14:textId="77777777" w:rsidR="008F632E" w:rsidRPr="008F632E" w:rsidRDefault="008F632E" w:rsidP="008F632E">
      <w:pPr>
        <w:pStyle w:val="Estilo"/>
        <w:rPr>
          <w:rFonts w:cs="Arial"/>
          <w:sz w:val="20"/>
          <w:szCs w:val="20"/>
        </w:rPr>
      </w:pPr>
      <w:r w:rsidRPr="008F632E">
        <w:rPr>
          <w:rFonts w:cs="Arial"/>
          <w:sz w:val="20"/>
          <w:szCs w:val="20"/>
        </w:rPr>
        <w:t>Apartado C. En las entidades federativas las elecciones locales estarán a cargo de organismos públicos locales en los términos de esta Constitución, que ejercerán funciones en las siguientes materias: […]</w:t>
      </w:r>
    </w:p>
    <w:p w14:paraId="141A071F" w14:textId="77777777" w:rsidR="008F632E" w:rsidRPr="008F632E" w:rsidRDefault="008F632E" w:rsidP="008F632E">
      <w:pPr>
        <w:pStyle w:val="Estilo"/>
        <w:rPr>
          <w:rFonts w:cs="Arial"/>
          <w:sz w:val="20"/>
          <w:szCs w:val="20"/>
        </w:rPr>
      </w:pPr>
      <w:r w:rsidRPr="008F632E">
        <w:rPr>
          <w:rFonts w:cs="Arial"/>
          <w:sz w:val="20"/>
          <w:szCs w:val="20"/>
        </w:rPr>
        <w:t>Corresponde al Instituto Nacional Electoral designar y remover a los integrantes del órgano superior de dirección de los organismos públicos locales, en los términos de esta Constitución.</w:t>
      </w:r>
    </w:p>
    <w:p w14:paraId="458FE550" w14:textId="77777777" w:rsidR="008F632E" w:rsidRPr="008F632E" w:rsidRDefault="008F632E" w:rsidP="008F632E">
      <w:pPr>
        <w:pStyle w:val="Estilo"/>
        <w:rPr>
          <w:rFonts w:cs="Arial"/>
          <w:sz w:val="20"/>
          <w:szCs w:val="20"/>
        </w:rPr>
      </w:pPr>
      <w:r w:rsidRPr="008F632E">
        <w:rPr>
          <w:rFonts w:cs="Arial"/>
          <w:sz w:val="20"/>
          <w:szCs w:val="20"/>
        </w:rPr>
        <w:t>Apartado D.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 […]”.</w:t>
      </w:r>
    </w:p>
  </w:footnote>
  <w:footnote w:id="38">
    <w:p w14:paraId="35350FF6" w14:textId="36000167" w:rsidR="008F632E" w:rsidRPr="00C95440" w:rsidRDefault="008F632E">
      <w:pPr>
        <w:pStyle w:val="Textonotapie"/>
        <w:rPr>
          <w:rFonts w:ascii="Arial" w:hAnsi="Arial" w:cs="Arial"/>
        </w:rPr>
      </w:pPr>
      <w:r w:rsidRPr="00C95440">
        <w:rPr>
          <w:rStyle w:val="Refdenotaalpie"/>
          <w:rFonts w:ascii="Arial" w:hAnsi="Arial" w:cs="Arial"/>
        </w:rPr>
        <w:footnoteRef/>
      </w:r>
      <w:r w:rsidRPr="00C95440">
        <w:rPr>
          <w:rFonts w:ascii="Arial" w:hAnsi="Arial" w:cs="Arial"/>
        </w:rPr>
        <w:t xml:space="preserve"> </w:t>
      </w:r>
      <w:r w:rsidR="00C95440" w:rsidRPr="00C95440">
        <w:rPr>
          <w:rFonts w:ascii="Arial" w:hAnsi="Arial" w:cs="Arial"/>
        </w:rPr>
        <w:t xml:space="preserve">Véase </w:t>
      </w:r>
      <w:r w:rsidR="00C95440" w:rsidRPr="00C95440">
        <w:rPr>
          <w:rFonts w:ascii="Arial" w:hAnsi="Arial" w:cs="Arial"/>
          <w:i/>
          <w:iCs/>
        </w:rPr>
        <w:t>supra</w:t>
      </w:r>
      <w:r w:rsidR="00C95440" w:rsidRPr="00C95440">
        <w:rPr>
          <w:rFonts w:ascii="Arial" w:hAnsi="Arial" w:cs="Arial"/>
        </w:rPr>
        <w:t xml:space="preserve"> nota 34. </w:t>
      </w:r>
    </w:p>
  </w:footnote>
  <w:footnote w:id="39">
    <w:p w14:paraId="46BD1378" w14:textId="63B6FB60" w:rsidR="006E1802" w:rsidRPr="00426516" w:rsidRDefault="006E1802" w:rsidP="006E1802">
      <w:pPr>
        <w:pStyle w:val="Textonotapie"/>
        <w:rPr>
          <w:rFonts w:ascii="Arial" w:hAnsi="Arial" w:cs="Arial"/>
        </w:rPr>
      </w:pPr>
      <w:r w:rsidRPr="00426516">
        <w:rPr>
          <w:rStyle w:val="Refdenotaalpie"/>
          <w:rFonts w:ascii="Arial" w:hAnsi="Arial" w:cs="Arial"/>
        </w:rPr>
        <w:footnoteRef/>
      </w:r>
      <w:r w:rsidRPr="00426516">
        <w:rPr>
          <w:rFonts w:ascii="Arial" w:hAnsi="Arial" w:cs="Arial"/>
        </w:rPr>
        <w:t xml:space="preserve"> Véase</w:t>
      </w:r>
      <w:r w:rsidR="002B170B" w:rsidRPr="00426516">
        <w:rPr>
          <w:rFonts w:ascii="Arial" w:hAnsi="Arial" w:cs="Arial"/>
        </w:rPr>
        <w:t xml:space="preserve"> la acción de inconstitucionalidad 53/2015 y sus acumuladas, párrs. 2</w:t>
      </w:r>
      <w:r w:rsidR="00EA7A2C" w:rsidRPr="00426516">
        <w:rPr>
          <w:rFonts w:ascii="Arial" w:hAnsi="Arial" w:cs="Arial"/>
        </w:rPr>
        <w:t>03</w:t>
      </w:r>
      <w:r w:rsidR="002B170B" w:rsidRPr="00426516">
        <w:rPr>
          <w:rFonts w:ascii="Arial" w:hAnsi="Arial" w:cs="Arial"/>
        </w:rPr>
        <w:t xml:space="preserve"> a 2</w:t>
      </w:r>
      <w:r w:rsidR="00EA7A2C" w:rsidRPr="00426516">
        <w:rPr>
          <w:rFonts w:ascii="Arial" w:hAnsi="Arial" w:cs="Arial"/>
        </w:rPr>
        <w:t>08</w:t>
      </w:r>
      <w:r w:rsidR="002B170B" w:rsidRPr="00426516">
        <w:rPr>
          <w:rFonts w:ascii="Arial" w:hAnsi="Arial" w:cs="Arial"/>
          <w:i/>
          <w:iCs/>
        </w:rPr>
        <w:t>.</w:t>
      </w:r>
    </w:p>
  </w:footnote>
  <w:footnote w:id="40">
    <w:p w14:paraId="4D692622" w14:textId="77777777" w:rsidR="00005460" w:rsidRPr="00426516" w:rsidRDefault="00005460" w:rsidP="00005460">
      <w:pPr>
        <w:pStyle w:val="Estilo"/>
        <w:rPr>
          <w:rFonts w:cs="Arial"/>
          <w:sz w:val="20"/>
          <w:szCs w:val="20"/>
        </w:rPr>
      </w:pPr>
      <w:r w:rsidRPr="00426516">
        <w:rPr>
          <w:rStyle w:val="Refdenotaalpie"/>
          <w:rFonts w:cs="Arial"/>
          <w:sz w:val="20"/>
          <w:szCs w:val="20"/>
        </w:rPr>
        <w:footnoteRef/>
      </w:r>
      <w:r w:rsidRPr="00426516">
        <w:rPr>
          <w:rFonts w:cs="Arial"/>
          <w:sz w:val="20"/>
          <w:szCs w:val="20"/>
        </w:rPr>
        <w:t xml:space="preserve"> </w:t>
      </w:r>
      <w:r w:rsidRPr="00426516">
        <w:rPr>
          <w:rFonts w:cs="Arial"/>
          <w:b/>
          <w:bCs/>
          <w:sz w:val="20"/>
          <w:szCs w:val="20"/>
        </w:rPr>
        <w:t>Artículo 59.</w:t>
      </w:r>
      <w:r w:rsidRPr="00426516">
        <w:rPr>
          <w:rFonts w:cs="Arial"/>
          <w:sz w:val="20"/>
          <w:szCs w:val="20"/>
        </w:rPr>
        <w:t xml:space="preserve"> Son facultades del Congreso del Estado: […]</w:t>
      </w:r>
    </w:p>
    <w:p w14:paraId="55E8C56F" w14:textId="77777777" w:rsidR="00005460" w:rsidRPr="00DA1625" w:rsidRDefault="00005460" w:rsidP="00005460">
      <w:pPr>
        <w:pStyle w:val="Estilo"/>
        <w:rPr>
          <w:sz w:val="20"/>
          <w:szCs w:val="20"/>
        </w:rPr>
      </w:pPr>
      <w:r w:rsidRPr="00426516">
        <w:rPr>
          <w:rFonts w:cs="Arial"/>
          <w:b/>
          <w:bCs/>
          <w:sz w:val="20"/>
          <w:szCs w:val="20"/>
        </w:rPr>
        <w:t>LI.</w:t>
      </w:r>
      <w:r w:rsidRPr="00426516">
        <w:rPr>
          <w:rFonts w:cs="Arial"/>
          <w:sz w:val="20"/>
          <w:szCs w:val="20"/>
        </w:rPr>
        <w:t xml:space="preserve"> Requerir la comparecencia de los secretario de despacho del Gobierno del Estado, Consejero Jurídico, Fiscal General del Estado de Oaxaca, titulares de los órganos constitucionales autónomos,</w:t>
      </w:r>
      <w:r w:rsidRPr="00DA1625">
        <w:rPr>
          <w:sz w:val="20"/>
          <w:szCs w:val="20"/>
        </w:rPr>
        <w:t xml:space="preserve"> directores o administradores de las dependencias y entidades de la Administración Pública Estatal, concejos municipales y comisionados municipales que se consideren pertinente (sic), para que informen cuando se discuta o estudie un asunto relativo a su ramo o actividades, así como, para que respondan a preguntas que se les formulen; […]</w:t>
      </w:r>
    </w:p>
  </w:footnote>
  <w:footnote w:id="41">
    <w:p w14:paraId="381692C1" w14:textId="77777777" w:rsidR="005178BC" w:rsidRPr="000160AE" w:rsidRDefault="005178BC" w:rsidP="005178BC">
      <w:pPr>
        <w:pStyle w:val="corte4fondo"/>
        <w:tabs>
          <w:tab w:val="left" w:pos="0"/>
        </w:tabs>
        <w:spacing w:line="240" w:lineRule="auto"/>
        <w:ind w:firstLine="0"/>
        <w:rPr>
          <w:sz w:val="20"/>
        </w:rPr>
      </w:pPr>
      <w:r w:rsidRPr="000160AE">
        <w:rPr>
          <w:rStyle w:val="Refdenotaalpie"/>
          <w:sz w:val="20"/>
        </w:rPr>
        <w:footnoteRef/>
      </w:r>
      <w:r w:rsidRPr="000160AE">
        <w:rPr>
          <w:sz w:val="20"/>
        </w:rPr>
        <w:t xml:space="preserve"> </w:t>
      </w:r>
      <w:r w:rsidRPr="000160AE">
        <w:rPr>
          <w:b/>
          <w:bCs/>
          <w:sz w:val="20"/>
        </w:rPr>
        <w:t>Artículo 114.</w:t>
      </w:r>
      <w:r w:rsidRPr="000160AE">
        <w:rPr>
          <w:sz w:val="20"/>
        </w:rPr>
        <w:t xml:space="preserve"> Conforme a esta Constitución y sus leyes respectivas, los órganos autónomos del Estado son entes públicos, con personalidad jurídica y patrimonio propio. […]</w:t>
      </w:r>
    </w:p>
    <w:p w14:paraId="5508B820" w14:textId="77777777" w:rsidR="005178BC" w:rsidRPr="000160AE" w:rsidRDefault="005178BC" w:rsidP="005178BC">
      <w:pPr>
        <w:pStyle w:val="corte4fondo"/>
        <w:tabs>
          <w:tab w:val="left" w:pos="0"/>
        </w:tabs>
        <w:spacing w:line="240" w:lineRule="auto"/>
        <w:ind w:firstLine="0"/>
        <w:rPr>
          <w:sz w:val="20"/>
        </w:rPr>
      </w:pPr>
      <w:r w:rsidRPr="000160AE">
        <w:rPr>
          <w:sz w:val="20"/>
        </w:rPr>
        <w:t>Los órganos autónomos del Estado desarrollarán las actividades de su competencia, de conformidad con las siguientes disposiciones:</w:t>
      </w:r>
    </w:p>
    <w:p w14:paraId="4A8C7E70" w14:textId="77777777" w:rsidR="005178BC" w:rsidRPr="000160AE" w:rsidRDefault="005178BC" w:rsidP="005178BC">
      <w:pPr>
        <w:pStyle w:val="Estilo"/>
        <w:rPr>
          <w:sz w:val="20"/>
          <w:szCs w:val="20"/>
        </w:rPr>
      </w:pPr>
      <w:r w:rsidRPr="000160AE">
        <w:rPr>
          <w:b/>
          <w:bCs/>
          <w:sz w:val="20"/>
          <w:szCs w:val="20"/>
        </w:rPr>
        <w:t>A.</w:t>
      </w:r>
      <w:r w:rsidRPr="000160AE">
        <w:rPr>
          <w:sz w:val="20"/>
          <w:szCs w:val="20"/>
        </w:rPr>
        <w:t xml:space="preserve"> DE LA DEFENSORÍA DE LOS DERECHOS HUMANOS DEL PUEBLO DE OAXACA</w:t>
      </w:r>
      <w:r>
        <w:rPr>
          <w:sz w:val="20"/>
          <w:szCs w:val="20"/>
        </w:rPr>
        <w:t>. […]</w:t>
      </w:r>
    </w:p>
    <w:p w14:paraId="0ADB6E3A" w14:textId="77777777" w:rsidR="005178BC" w:rsidRPr="000160AE" w:rsidRDefault="005178BC" w:rsidP="005178BC">
      <w:pPr>
        <w:pStyle w:val="Estilo"/>
        <w:rPr>
          <w:sz w:val="20"/>
          <w:szCs w:val="20"/>
        </w:rPr>
      </w:pPr>
      <w:r w:rsidRPr="000160AE">
        <w:rPr>
          <w:b/>
          <w:bCs/>
          <w:sz w:val="20"/>
          <w:szCs w:val="20"/>
        </w:rPr>
        <w:t>B.</w:t>
      </w:r>
      <w:r w:rsidRPr="000160AE">
        <w:rPr>
          <w:sz w:val="20"/>
          <w:szCs w:val="20"/>
        </w:rPr>
        <w:t xml:space="preserve"> (DEROGADO, P.O. 13 DE FEBRERO DE 2021)</w:t>
      </w:r>
    </w:p>
    <w:p w14:paraId="1F204AE3" w14:textId="77777777" w:rsidR="005178BC" w:rsidRPr="000160AE" w:rsidRDefault="005178BC" w:rsidP="005178BC">
      <w:pPr>
        <w:pStyle w:val="Estilo"/>
        <w:rPr>
          <w:sz w:val="20"/>
          <w:szCs w:val="20"/>
        </w:rPr>
      </w:pPr>
      <w:r w:rsidRPr="000160AE">
        <w:rPr>
          <w:b/>
          <w:bCs/>
          <w:sz w:val="20"/>
          <w:szCs w:val="20"/>
        </w:rPr>
        <w:t>C.</w:t>
      </w:r>
      <w:r w:rsidRPr="000160AE">
        <w:rPr>
          <w:sz w:val="20"/>
          <w:szCs w:val="20"/>
        </w:rPr>
        <w:t xml:space="preserve"> EL ÓRGANO GARANTE DE ACCESO A LA INFORMACIÓN PÚBLICA, TRANSPARENCIA, PROTECCIÓN DE DATOS PERSONALES Y BUEN GOBIERNO DEL ESTADO DE OAXACA.</w:t>
      </w:r>
      <w:r>
        <w:rPr>
          <w:sz w:val="20"/>
          <w:szCs w:val="20"/>
        </w:rPr>
        <w:t xml:space="preserve"> […]</w:t>
      </w:r>
    </w:p>
    <w:p w14:paraId="34E5B990" w14:textId="77777777" w:rsidR="005178BC" w:rsidRPr="000160AE" w:rsidRDefault="005178BC" w:rsidP="005178BC">
      <w:pPr>
        <w:pStyle w:val="Estilo"/>
        <w:rPr>
          <w:sz w:val="20"/>
          <w:szCs w:val="20"/>
        </w:rPr>
      </w:pPr>
      <w:r w:rsidRPr="000160AE">
        <w:rPr>
          <w:b/>
          <w:bCs/>
          <w:sz w:val="20"/>
          <w:szCs w:val="20"/>
        </w:rPr>
        <w:t>D.</w:t>
      </w:r>
      <w:r w:rsidRPr="000160AE">
        <w:rPr>
          <w:sz w:val="20"/>
          <w:szCs w:val="20"/>
        </w:rPr>
        <w:t xml:space="preserve"> DE LA FISCALÍA GENERAL DEL ESTADO DE OAXACA</w:t>
      </w:r>
      <w:r>
        <w:rPr>
          <w:sz w:val="20"/>
          <w:szCs w:val="20"/>
        </w:rPr>
        <w:t>. […]</w:t>
      </w:r>
    </w:p>
  </w:footnote>
  <w:footnote w:id="42">
    <w:p w14:paraId="58100D64" w14:textId="27C956C2" w:rsidR="00756508" w:rsidRPr="00756508" w:rsidRDefault="00756508">
      <w:pPr>
        <w:pStyle w:val="Textonotapie"/>
        <w:rPr>
          <w:rFonts w:ascii="Arial" w:hAnsi="Arial" w:cs="Arial"/>
        </w:rPr>
      </w:pPr>
      <w:r w:rsidRPr="00756508">
        <w:rPr>
          <w:rStyle w:val="Refdenotaalpie"/>
          <w:rFonts w:ascii="Arial" w:hAnsi="Arial" w:cs="Arial"/>
        </w:rPr>
        <w:footnoteRef/>
      </w:r>
      <w:r w:rsidRPr="00756508">
        <w:rPr>
          <w:rFonts w:ascii="Arial" w:hAnsi="Arial" w:cs="Arial"/>
        </w:rPr>
        <w:t xml:space="preserve"> </w:t>
      </w:r>
      <w:r w:rsidR="00E408E5">
        <w:rPr>
          <w:rFonts w:ascii="Arial" w:hAnsi="Arial" w:cs="Arial"/>
        </w:rPr>
        <w:t>A</w:t>
      </w:r>
      <w:r w:rsidR="00E408E5" w:rsidRPr="00426516">
        <w:rPr>
          <w:rFonts w:ascii="Arial" w:hAnsi="Arial" w:cs="Arial"/>
        </w:rPr>
        <w:t>cción de inconstitucionalidad 53/2015 y sus acumuladas,</w:t>
      </w:r>
      <w:r w:rsidRPr="00756508">
        <w:rPr>
          <w:rFonts w:ascii="Arial" w:hAnsi="Arial" w:cs="Arial"/>
        </w:rPr>
        <w:t xml:space="preserve"> párr. 217.  </w:t>
      </w:r>
    </w:p>
  </w:footnote>
  <w:footnote w:id="43">
    <w:p w14:paraId="49CA3E13" w14:textId="1D9F48D8" w:rsidR="0002581B" w:rsidRPr="00756508" w:rsidRDefault="0002581B" w:rsidP="0002581B">
      <w:pPr>
        <w:pStyle w:val="Textonotapie"/>
        <w:rPr>
          <w:rFonts w:ascii="Arial" w:hAnsi="Arial" w:cs="Arial"/>
        </w:rPr>
      </w:pPr>
      <w:r w:rsidRPr="00756508">
        <w:rPr>
          <w:rStyle w:val="Refdenotaalpie"/>
          <w:rFonts w:ascii="Arial" w:hAnsi="Arial" w:cs="Arial"/>
        </w:rPr>
        <w:footnoteRef/>
      </w:r>
      <w:r w:rsidRPr="00756508">
        <w:rPr>
          <w:rFonts w:ascii="Arial" w:hAnsi="Arial" w:cs="Arial"/>
        </w:rPr>
        <w:t xml:space="preserve"> </w:t>
      </w:r>
      <w:r w:rsidRPr="0002581B">
        <w:rPr>
          <w:rFonts w:ascii="Arial" w:hAnsi="Arial" w:cs="Arial"/>
        </w:rPr>
        <w:t>Véase</w:t>
      </w:r>
      <w:r>
        <w:rPr>
          <w:rFonts w:ascii="Arial" w:hAnsi="Arial" w:cs="Arial"/>
          <w:i/>
          <w:iCs/>
        </w:rPr>
        <w:t xml:space="preserve"> i</w:t>
      </w:r>
      <w:r w:rsidRPr="00756508">
        <w:rPr>
          <w:rFonts w:ascii="Arial" w:hAnsi="Arial" w:cs="Arial"/>
          <w:i/>
          <w:iCs/>
        </w:rPr>
        <w:t>bíd.</w:t>
      </w:r>
      <w:r w:rsidRPr="00756508">
        <w:rPr>
          <w:rFonts w:ascii="Arial" w:hAnsi="Arial" w:cs="Arial"/>
        </w:rPr>
        <w:t>, párr. 21</w:t>
      </w:r>
      <w:r>
        <w:rPr>
          <w:rFonts w:ascii="Arial" w:hAnsi="Arial" w:cs="Arial"/>
        </w:rPr>
        <w:t>6</w:t>
      </w:r>
      <w:r w:rsidRPr="00756508">
        <w:rPr>
          <w:rFonts w:ascii="Arial" w:hAnsi="Arial" w:cs="Arial"/>
        </w:rPr>
        <w:t xml:space="preserve">.  </w:t>
      </w:r>
    </w:p>
  </w:footnote>
  <w:footnote w:id="44">
    <w:p w14:paraId="07DDC04D" w14:textId="77777777" w:rsidR="00D95689" w:rsidRPr="00E63942" w:rsidRDefault="00D95689" w:rsidP="00D95689">
      <w:pPr>
        <w:pStyle w:val="Sinespaciado"/>
        <w:rPr>
          <w:b/>
          <w:bCs/>
          <w:sz w:val="20"/>
          <w:szCs w:val="20"/>
        </w:rPr>
      </w:pPr>
      <w:r w:rsidRPr="00E63942">
        <w:rPr>
          <w:rStyle w:val="Refdenotaalpie"/>
          <w:sz w:val="20"/>
          <w:szCs w:val="20"/>
        </w:rPr>
        <w:footnoteRef/>
      </w:r>
      <w:r w:rsidRPr="00E63942">
        <w:rPr>
          <w:sz w:val="20"/>
          <w:szCs w:val="20"/>
        </w:rPr>
        <w:t xml:space="preserve"> </w:t>
      </w:r>
      <w:r w:rsidRPr="00E63942">
        <w:rPr>
          <w:sz w:val="20"/>
          <w:szCs w:val="20"/>
          <w:lang w:val="es-ES_tradnl"/>
        </w:rPr>
        <w:t xml:space="preserve">Véase la tesis aislada del Pleno </w:t>
      </w:r>
      <w:r w:rsidRPr="00E63942">
        <w:rPr>
          <w:sz w:val="20"/>
          <w:szCs w:val="20"/>
        </w:rPr>
        <w:t>P. IV/2008 de rubro “</w:t>
      </w:r>
      <w:r w:rsidRPr="00E63942">
        <w:rPr>
          <w:b/>
          <w:bCs/>
          <w:sz w:val="20"/>
          <w:szCs w:val="20"/>
        </w:rPr>
        <w:t xml:space="preserve">INTERPRETACIÓN CONFORME EN ACCIONES DE INCONSTITUCIONALIDAD, CUANDO UNA NORMA ADMITA VARIAS INTERPRETACIONES DEBE PREFERIRSE LA COMPATIBLE CON LA CONSTITUCIÓN”. </w:t>
      </w:r>
      <w:r w:rsidRPr="00E63942">
        <w:rPr>
          <w:sz w:val="20"/>
          <w:szCs w:val="20"/>
        </w:rPr>
        <w:t>Semanario Judicial de la Federación y su Gaceta. Tomo XXVII, febrero de dos mil ocho, página 1343.</w:t>
      </w:r>
    </w:p>
  </w:footnote>
  <w:footnote w:id="45">
    <w:p w14:paraId="7AD50AD7" w14:textId="3F12C7B2" w:rsidR="004D37AF" w:rsidRPr="00E63942" w:rsidRDefault="004D37AF" w:rsidP="004D37AF">
      <w:pPr>
        <w:pStyle w:val="Textonotapie"/>
        <w:rPr>
          <w:rFonts w:ascii="Arial" w:hAnsi="Arial" w:cs="Arial"/>
        </w:rPr>
      </w:pPr>
      <w:r w:rsidRPr="00E63942">
        <w:rPr>
          <w:rStyle w:val="Refdenotaalpie"/>
          <w:rFonts w:ascii="Arial" w:hAnsi="Arial" w:cs="Arial"/>
        </w:rPr>
        <w:footnoteRef/>
      </w:r>
      <w:r w:rsidRPr="00E63942">
        <w:rPr>
          <w:rFonts w:ascii="Arial" w:hAnsi="Arial" w:cs="Arial"/>
        </w:rPr>
        <w:t xml:space="preserve"> Véase acción de inconstitucionalidad 53/2015 y sus acumuladas, párr. 218.  </w:t>
      </w:r>
    </w:p>
  </w:footnote>
  <w:footnote w:id="46">
    <w:p w14:paraId="0CA5339B" w14:textId="77777777" w:rsidR="00B41430" w:rsidRPr="00AE0B39" w:rsidRDefault="00B41430" w:rsidP="00B41430">
      <w:pPr>
        <w:pStyle w:val="Sinespaciado"/>
        <w:rPr>
          <w:rFonts w:eastAsia="Times New Roman"/>
          <w:sz w:val="20"/>
          <w:szCs w:val="20"/>
          <w:lang w:val="es-ES_tradnl" w:eastAsia="x-none"/>
        </w:rPr>
      </w:pPr>
      <w:r w:rsidRPr="00AE0B39">
        <w:rPr>
          <w:rStyle w:val="Refdenotaalpie"/>
          <w:sz w:val="20"/>
          <w:szCs w:val="20"/>
        </w:rPr>
        <w:footnoteRef/>
      </w:r>
      <w:r w:rsidRPr="00AE0B39">
        <w:rPr>
          <w:sz w:val="20"/>
          <w:szCs w:val="20"/>
        </w:rPr>
        <w:t xml:space="preserve"> </w:t>
      </w:r>
      <w:r w:rsidRPr="00AE0B39">
        <w:rPr>
          <w:sz w:val="20"/>
          <w:szCs w:val="20"/>
          <w:lang w:val="es-ES_tradnl"/>
        </w:rPr>
        <w:t xml:space="preserve">Véase la tesis aislada de la Primera Sala </w:t>
      </w:r>
      <w:r w:rsidRPr="00AE0B39">
        <w:rPr>
          <w:rFonts w:eastAsia="Times New Roman"/>
          <w:sz w:val="20"/>
          <w:szCs w:val="20"/>
          <w:lang w:val="es-ES_tradnl" w:eastAsia="x-none"/>
        </w:rPr>
        <w:t>1a. VI/2020 (10a.) de rubro “</w:t>
      </w:r>
      <w:r w:rsidRPr="00AE0B39">
        <w:rPr>
          <w:rFonts w:eastAsia="Times New Roman"/>
          <w:b/>
          <w:bCs/>
          <w:sz w:val="20"/>
          <w:szCs w:val="20"/>
          <w:lang w:val="es-ES_tradnl" w:eastAsia="x-none"/>
        </w:rPr>
        <w:t xml:space="preserve">EXPOSICIÓN DE MOTIVOS EN EL PROCESO LEGISLATIVO. LOS DOCUMENTOS QUE SE HAYAN TENIDO EN CUENTA POR EL LEGISLADOR EN SU ELABORACIÓN, ÚNICAMENTE TIENEN UN EFECTO ORIENTADOR Y, POR ENDE, NO CONSTITUYEN UNA CONDICIÓN DE SU CONSTITUCIONALIDAD”. </w:t>
      </w:r>
      <w:r w:rsidRPr="00AE0B39">
        <w:rPr>
          <w:rFonts w:eastAsia="Times New Roman"/>
          <w:sz w:val="20"/>
          <w:szCs w:val="20"/>
          <w:lang w:val="es-ES_tradnl" w:eastAsia="x-none"/>
        </w:rPr>
        <w:t>Gaceta del Semanario Judicial de la Federación. Libro 74, enero de dos mil veinte, Tomo I, página 650.</w:t>
      </w:r>
    </w:p>
  </w:footnote>
  <w:footnote w:id="47">
    <w:p w14:paraId="38B97C47" w14:textId="310CA6C5" w:rsidR="00B41430" w:rsidRPr="000E28C1" w:rsidRDefault="00B41430" w:rsidP="00B41430">
      <w:pPr>
        <w:pStyle w:val="Sinespaciado"/>
        <w:rPr>
          <w:rFonts w:eastAsia="Times New Roman"/>
          <w:sz w:val="20"/>
          <w:szCs w:val="20"/>
          <w:lang w:val="es-ES_tradnl" w:eastAsia="x-none"/>
        </w:rPr>
      </w:pPr>
      <w:r w:rsidRPr="00AB0690">
        <w:rPr>
          <w:rStyle w:val="Refdenotaalpie"/>
          <w:sz w:val="20"/>
          <w:szCs w:val="20"/>
        </w:rPr>
        <w:footnoteRef/>
      </w:r>
      <w:r>
        <w:rPr>
          <w:sz w:val="20"/>
          <w:szCs w:val="20"/>
          <w:lang w:val="es-ES_tradnl"/>
        </w:rPr>
        <w:t xml:space="preserve"> </w:t>
      </w:r>
      <w:r w:rsidRPr="000E28C1">
        <w:rPr>
          <w:sz w:val="20"/>
          <w:szCs w:val="20"/>
          <w:lang w:val="es-ES_tradnl"/>
        </w:rPr>
        <w:t xml:space="preserve">Véase la jurisprudencia del Pleno </w:t>
      </w:r>
      <w:r w:rsidRPr="000E28C1">
        <w:rPr>
          <w:rFonts w:eastAsia="Times New Roman"/>
          <w:sz w:val="20"/>
          <w:szCs w:val="20"/>
          <w:lang w:val="es-ES_tradnl" w:eastAsia="x-none"/>
        </w:rPr>
        <w:t xml:space="preserve">P./J. 15/1992, </w:t>
      </w:r>
      <w:r w:rsidRPr="000E28C1">
        <w:rPr>
          <w:sz w:val="20"/>
          <w:szCs w:val="20"/>
          <w:lang w:val="es-ES_tradnl"/>
        </w:rPr>
        <w:t>cuyo rubro es: “</w:t>
      </w:r>
      <w:r w:rsidRPr="000E28C1">
        <w:rPr>
          <w:rFonts w:eastAsia="Times New Roman"/>
          <w:b/>
          <w:bCs/>
          <w:sz w:val="20"/>
          <w:szCs w:val="20"/>
          <w:lang w:val="es-ES_tradnl" w:eastAsia="x-none"/>
        </w:rPr>
        <w:t>LEYES. NO SON INCONSTITUCIONALES PORQUE SE APARTEN DE LA EXPOSICION DE MOTIVOS DE LAS INICIATIVAS QUE LES DAN ORIGEN”</w:t>
      </w:r>
      <w:r w:rsidR="00301551" w:rsidRPr="00301551">
        <w:rPr>
          <w:rFonts w:eastAsia="Times New Roman"/>
          <w:sz w:val="20"/>
          <w:szCs w:val="20"/>
          <w:lang w:val="es-ES_tradnl" w:eastAsia="x-none"/>
        </w:rPr>
        <w:t>,</w:t>
      </w:r>
      <w:r w:rsidR="00301551">
        <w:rPr>
          <w:rFonts w:eastAsia="Times New Roman"/>
          <w:b/>
          <w:bCs/>
          <w:sz w:val="20"/>
          <w:szCs w:val="20"/>
          <w:lang w:val="es-ES_tradnl" w:eastAsia="x-none"/>
        </w:rPr>
        <w:t xml:space="preserve"> </w:t>
      </w:r>
      <w:r w:rsidRPr="00301551">
        <w:rPr>
          <w:rFonts w:eastAsia="Times New Roman"/>
          <w:i/>
          <w:iCs/>
          <w:sz w:val="20"/>
          <w:szCs w:val="20"/>
          <w:lang w:val="es-ES_tradnl" w:eastAsia="x-none"/>
        </w:rPr>
        <w:t>Gaceta del Semanario Judicial de la Federación</w:t>
      </w:r>
      <w:r w:rsidR="00301551">
        <w:rPr>
          <w:rFonts w:eastAsia="Times New Roman"/>
          <w:sz w:val="20"/>
          <w:szCs w:val="20"/>
          <w:lang w:val="es-ES_tradnl" w:eastAsia="x-none"/>
        </w:rPr>
        <w:t>,</w:t>
      </w:r>
      <w:r w:rsidRPr="000E28C1">
        <w:rPr>
          <w:rFonts w:eastAsia="Times New Roman"/>
          <w:sz w:val="20"/>
          <w:szCs w:val="20"/>
          <w:lang w:val="es-ES_tradnl" w:eastAsia="x-none"/>
        </w:rPr>
        <w:t xml:space="preserve"> </w:t>
      </w:r>
      <w:r w:rsidR="00301551">
        <w:rPr>
          <w:rFonts w:eastAsia="Times New Roman"/>
          <w:sz w:val="20"/>
          <w:szCs w:val="20"/>
          <w:lang w:val="es-ES_tradnl" w:eastAsia="x-none"/>
        </w:rPr>
        <w:t>n</w:t>
      </w:r>
      <w:r w:rsidRPr="000E28C1">
        <w:rPr>
          <w:rFonts w:eastAsia="Times New Roman"/>
          <w:sz w:val="20"/>
          <w:szCs w:val="20"/>
          <w:lang w:val="es-ES_tradnl" w:eastAsia="x-none"/>
        </w:rPr>
        <w:t xml:space="preserve">úm. 52, abril de </w:t>
      </w:r>
      <w:r>
        <w:rPr>
          <w:rFonts w:eastAsia="Times New Roman"/>
          <w:sz w:val="20"/>
          <w:szCs w:val="20"/>
          <w:lang w:val="es-ES_tradnl" w:eastAsia="x-none"/>
        </w:rPr>
        <w:t>mil novecientos noventa y dos</w:t>
      </w:r>
      <w:r w:rsidRPr="000E28C1">
        <w:rPr>
          <w:rFonts w:eastAsia="Times New Roman"/>
          <w:sz w:val="20"/>
          <w:szCs w:val="20"/>
          <w:lang w:val="es-ES_tradnl" w:eastAsia="x-none"/>
        </w:rPr>
        <w:t>, pág</w:t>
      </w:r>
      <w:r w:rsidR="00301551">
        <w:rPr>
          <w:rFonts w:eastAsia="Times New Roman"/>
          <w:sz w:val="20"/>
          <w:szCs w:val="20"/>
          <w:lang w:val="es-ES_tradnl" w:eastAsia="x-none"/>
        </w:rPr>
        <w:t>.</w:t>
      </w:r>
      <w:r w:rsidRPr="000E28C1">
        <w:rPr>
          <w:rFonts w:eastAsia="Times New Roman"/>
          <w:sz w:val="20"/>
          <w:szCs w:val="20"/>
          <w:lang w:val="es-ES_tradnl" w:eastAsia="x-none"/>
        </w:rPr>
        <w:t xml:space="preserve"> 11.</w:t>
      </w:r>
    </w:p>
  </w:footnote>
  <w:footnote w:id="48">
    <w:p w14:paraId="3EE187C2" w14:textId="77CE71E7" w:rsidR="00B41430" w:rsidRPr="00AE0B39" w:rsidRDefault="00B41430" w:rsidP="00B41430">
      <w:pPr>
        <w:spacing w:after="0"/>
        <w:rPr>
          <w:sz w:val="20"/>
          <w:szCs w:val="20"/>
          <w:lang w:val="es-ES_tradnl"/>
        </w:rPr>
      </w:pPr>
      <w:r w:rsidRPr="00CC2202">
        <w:rPr>
          <w:rStyle w:val="Refdenotaalpie"/>
          <w:sz w:val="20"/>
          <w:szCs w:val="20"/>
        </w:rPr>
        <w:footnoteRef/>
      </w:r>
      <w:r w:rsidRPr="00CC2202">
        <w:rPr>
          <w:sz w:val="20"/>
          <w:szCs w:val="20"/>
        </w:rPr>
        <w:t xml:space="preserve"> </w:t>
      </w:r>
      <w:r w:rsidRPr="00CC2202">
        <w:rPr>
          <w:sz w:val="20"/>
          <w:szCs w:val="20"/>
          <w:lang w:val="es-ES_tradnl"/>
        </w:rPr>
        <w:t>V</w:t>
      </w:r>
      <w:r w:rsidRPr="000E28C1">
        <w:rPr>
          <w:sz w:val="20"/>
          <w:szCs w:val="20"/>
          <w:lang w:val="es-ES_tradnl"/>
        </w:rPr>
        <w:t xml:space="preserve">éase la </w:t>
      </w:r>
      <w:r>
        <w:rPr>
          <w:sz w:val="20"/>
          <w:szCs w:val="20"/>
          <w:lang w:val="es-ES_tradnl"/>
        </w:rPr>
        <w:t>tesis aislada</w:t>
      </w:r>
      <w:r w:rsidRPr="000E28C1">
        <w:rPr>
          <w:sz w:val="20"/>
          <w:szCs w:val="20"/>
          <w:lang w:val="es-ES_tradnl"/>
        </w:rPr>
        <w:t xml:space="preserve"> de</w:t>
      </w:r>
      <w:r>
        <w:rPr>
          <w:sz w:val="20"/>
          <w:szCs w:val="20"/>
          <w:lang w:val="es-ES_tradnl"/>
        </w:rPr>
        <w:t xml:space="preserve"> la Primera Sala </w:t>
      </w:r>
      <w:r w:rsidRPr="000E28C1">
        <w:rPr>
          <w:sz w:val="20"/>
          <w:szCs w:val="20"/>
          <w:lang w:val="es-ES_tradnl"/>
        </w:rPr>
        <w:t>1a. LX/2011</w:t>
      </w:r>
      <w:r>
        <w:rPr>
          <w:sz w:val="20"/>
          <w:szCs w:val="20"/>
          <w:lang w:val="es-ES_tradnl"/>
        </w:rPr>
        <w:t xml:space="preserve"> de rubro “</w:t>
      </w:r>
      <w:r w:rsidRPr="000E28C1">
        <w:rPr>
          <w:b/>
          <w:bCs/>
          <w:sz w:val="20"/>
          <w:szCs w:val="20"/>
          <w:lang w:val="es-ES_tradnl"/>
        </w:rPr>
        <w:t xml:space="preserve">EXPOSICIÓN DE MOTIVOS Y DETERMINACIÓN DE LA VOLUNTAD DEL LEGISLADOR: FUNCIONES QUE CUMPLEN EN EL </w:t>
      </w:r>
      <w:r w:rsidRPr="00AE0B39">
        <w:rPr>
          <w:b/>
          <w:bCs/>
          <w:sz w:val="20"/>
          <w:szCs w:val="20"/>
          <w:lang w:val="es-ES_tradnl"/>
        </w:rPr>
        <w:t>ANÁLISIS DE CONSTITUCIONALIDAD DE NORMAS”</w:t>
      </w:r>
      <w:r w:rsidR="00301551" w:rsidRPr="00301551">
        <w:rPr>
          <w:sz w:val="20"/>
          <w:szCs w:val="20"/>
          <w:lang w:val="es-ES_tradnl"/>
        </w:rPr>
        <w:t>,</w:t>
      </w:r>
      <w:r w:rsidRPr="00AE0B39">
        <w:rPr>
          <w:b/>
          <w:bCs/>
          <w:sz w:val="20"/>
          <w:szCs w:val="20"/>
          <w:lang w:val="es-ES_tradnl"/>
        </w:rPr>
        <w:t xml:space="preserve"> </w:t>
      </w:r>
      <w:r w:rsidRPr="00301551">
        <w:rPr>
          <w:i/>
          <w:iCs/>
          <w:sz w:val="20"/>
          <w:szCs w:val="20"/>
          <w:lang w:val="es-ES_tradnl"/>
        </w:rPr>
        <w:t>Semanario Judicial de la Federación y su Gaceta</w:t>
      </w:r>
      <w:r w:rsidR="00301551">
        <w:rPr>
          <w:sz w:val="20"/>
          <w:szCs w:val="20"/>
          <w:lang w:val="es-ES_tradnl"/>
        </w:rPr>
        <w:t>,</w:t>
      </w:r>
      <w:r w:rsidRPr="00AE0B39">
        <w:rPr>
          <w:sz w:val="20"/>
          <w:szCs w:val="20"/>
          <w:lang w:val="es-ES_tradnl"/>
        </w:rPr>
        <w:t xml:space="preserve"> </w:t>
      </w:r>
      <w:r w:rsidR="00301551">
        <w:rPr>
          <w:sz w:val="20"/>
          <w:szCs w:val="20"/>
          <w:lang w:val="es-ES_tradnl"/>
        </w:rPr>
        <w:t>t</w:t>
      </w:r>
      <w:r w:rsidRPr="00AE0B39">
        <w:rPr>
          <w:sz w:val="20"/>
          <w:szCs w:val="20"/>
          <w:lang w:val="es-ES_tradnl"/>
        </w:rPr>
        <w:t>omo XXXIII, abril de dos mil once, pág</w:t>
      </w:r>
      <w:r w:rsidR="00301551">
        <w:rPr>
          <w:sz w:val="20"/>
          <w:szCs w:val="20"/>
          <w:lang w:val="es-ES_tradnl"/>
        </w:rPr>
        <w:t>.</w:t>
      </w:r>
      <w:r w:rsidRPr="00AE0B39">
        <w:rPr>
          <w:sz w:val="20"/>
          <w:szCs w:val="20"/>
          <w:lang w:val="es-ES_tradnl"/>
        </w:rPr>
        <w:t xml:space="preserve"> 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2472" w14:textId="4709C3B9" w:rsidR="0046524E" w:rsidRPr="00F01D7C" w:rsidRDefault="00D13E08" w:rsidP="00A71A45">
    <w:pPr>
      <w:jc w:val="center"/>
      <w:rPr>
        <w:b/>
      </w:rPr>
    </w:pPr>
    <w:r>
      <w:rPr>
        <w:b/>
      </w:rPr>
      <w:t>ACCIÓN DE INCONSTITUCIONALIDA</w:t>
    </w:r>
    <w:r w:rsidR="00F15FD9">
      <w:rPr>
        <w:b/>
      </w:rPr>
      <w:t xml:space="preserve">D </w:t>
    </w:r>
    <w:r w:rsidR="00D43CFC">
      <w:rPr>
        <w:b/>
      </w:rPr>
      <w:t>152/2021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E9737D"/>
    <w:multiLevelType w:val="hybridMultilevel"/>
    <w:tmpl w:val="81B8DDDC"/>
    <w:lvl w:ilvl="0" w:tplc="08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837EC5"/>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1B09C9"/>
    <w:multiLevelType w:val="hybridMultilevel"/>
    <w:tmpl w:val="C3A2A230"/>
    <w:lvl w:ilvl="0" w:tplc="A0E63544">
      <w:start w:val="1"/>
      <w:numFmt w:val="lowerLetter"/>
      <w:lvlText w:val="%1)"/>
      <w:lvlJc w:val="left"/>
      <w:pPr>
        <w:ind w:left="502" w:hanging="360"/>
      </w:pPr>
      <w:rPr>
        <w:rFonts w:hint="default"/>
        <w:b/>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337E15F2"/>
    <w:multiLevelType w:val="hybridMultilevel"/>
    <w:tmpl w:val="1C08D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F85D2A"/>
    <w:multiLevelType w:val="hybridMultilevel"/>
    <w:tmpl w:val="DADA681C"/>
    <w:lvl w:ilvl="0" w:tplc="933E5BC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34367C2"/>
    <w:multiLevelType w:val="hybridMultilevel"/>
    <w:tmpl w:val="5C2C96C0"/>
    <w:lvl w:ilvl="0" w:tplc="D360AEB6">
      <w:start w:val="1"/>
      <w:numFmt w:val="decimal"/>
      <w:lvlText w:val="%1."/>
      <w:lvlJc w:val="left"/>
      <w:pPr>
        <w:tabs>
          <w:tab w:val="num" w:pos="-3"/>
        </w:tabs>
        <w:ind w:left="360" w:hanging="360"/>
      </w:pPr>
      <w:rPr>
        <w:rFonts w:ascii="Arial" w:hAnsi="Arial" w:cs="Arial" w:hint="default"/>
        <w:b/>
        <w:bCs/>
        <w:i w:val="0"/>
        <w:sz w:val="26"/>
        <w:szCs w:val="26"/>
      </w:rPr>
    </w:lvl>
    <w:lvl w:ilvl="1" w:tplc="080A0015">
      <w:start w:val="1"/>
      <w:numFmt w:val="upperLetter"/>
      <w:lvlText w:val="%2."/>
      <w:lvlJc w:val="left"/>
      <w:pPr>
        <w:ind w:left="1515" w:hanging="435"/>
      </w:pPr>
      <w:rPr>
        <w:rFonts w:hint="default"/>
        <w:b/>
        <w:sz w:val="26"/>
        <w:szCs w:val="26"/>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F940944"/>
    <w:multiLevelType w:val="hybridMultilevel"/>
    <w:tmpl w:val="8618C65A"/>
    <w:lvl w:ilvl="0" w:tplc="EE6C5BBA">
      <w:start w:val="1"/>
      <w:numFmt w:val="decimal"/>
      <w:lvlText w:val="%1."/>
      <w:lvlJc w:val="left"/>
      <w:pPr>
        <w:ind w:left="502" w:hanging="360"/>
      </w:pPr>
      <w:rPr>
        <w:rFonts w:hint="default"/>
        <w:b/>
        <w:i w:val="0"/>
        <w:spacing w:val="0"/>
        <w:sz w:val="26"/>
      </w:rPr>
    </w:lvl>
    <w:lvl w:ilvl="1" w:tplc="B36CCF96">
      <w:start w:val="1"/>
      <w:numFmt w:val="lowerLetter"/>
      <w:lvlText w:val="%2)"/>
      <w:lvlJc w:val="left"/>
      <w:pPr>
        <w:ind w:left="654" w:hanging="360"/>
      </w:pPr>
      <w:rPr>
        <w:rFonts w:hint="default"/>
        <w:b w:val="0"/>
      </w:rPr>
    </w:lvl>
    <w:lvl w:ilvl="2" w:tplc="080A001B">
      <w:start w:val="1"/>
      <w:numFmt w:val="lowerRoman"/>
      <w:lvlText w:val="%3."/>
      <w:lvlJc w:val="right"/>
      <w:pPr>
        <w:ind w:left="1374" w:hanging="180"/>
      </w:pPr>
    </w:lvl>
    <w:lvl w:ilvl="3" w:tplc="080A000F">
      <w:start w:val="1"/>
      <w:numFmt w:val="decimal"/>
      <w:lvlText w:val="%4."/>
      <w:lvlJc w:val="left"/>
      <w:pPr>
        <w:ind w:left="2094" w:hanging="360"/>
      </w:pPr>
    </w:lvl>
    <w:lvl w:ilvl="4" w:tplc="080A0019">
      <w:start w:val="1"/>
      <w:numFmt w:val="lowerLetter"/>
      <w:lvlText w:val="%5."/>
      <w:lvlJc w:val="left"/>
      <w:pPr>
        <w:ind w:left="2814" w:hanging="360"/>
      </w:pPr>
    </w:lvl>
    <w:lvl w:ilvl="5" w:tplc="080A001B">
      <w:start w:val="1"/>
      <w:numFmt w:val="lowerRoman"/>
      <w:lvlText w:val="%6."/>
      <w:lvlJc w:val="right"/>
      <w:pPr>
        <w:ind w:left="3534" w:hanging="180"/>
      </w:pPr>
    </w:lvl>
    <w:lvl w:ilvl="6" w:tplc="080A000F">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2"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95972">
    <w:abstractNumId w:val="12"/>
  </w:num>
  <w:num w:numId="2" w16cid:durableId="2083942598">
    <w:abstractNumId w:val="8"/>
  </w:num>
  <w:num w:numId="3" w16cid:durableId="762916709">
    <w:abstractNumId w:val="2"/>
  </w:num>
  <w:num w:numId="4" w16cid:durableId="1734231838">
    <w:abstractNumId w:val="0"/>
  </w:num>
  <w:num w:numId="5" w16cid:durableId="303201098">
    <w:abstractNumId w:val="10"/>
  </w:num>
  <w:num w:numId="6" w16cid:durableId="531497563">
    <w:abstractNumId w:val="3"/>
  </w:num>
  <w:num w:numId="7" w16cid:durableId="1325356487">
    <w:abstractNumId w:val="9"/>
  </w:num>
  <w:num w:numId="8" w16cid:durableId="1356998004">
    <w:abstractNumId w:val="7"/>
  </w:num>
  <w:num w:numId="9" w16cid:durableId="797146950">
    <w:abstractNumId w:val="6"/>
  </w:num>
  <w:num w:numId="10" w16cid:durableId="2072846647">
    <w:abstractNumId w:val="11"/>
  </w:num>
  <w:num w:numId="11" w16cid:durableId="2056272202">
    <w:abstractNumId w:val="4"/>
  </w:num>
  <w:num w:numId="12" w16cid:durableId="1895315094">
    <w:abstractNumId w:val="5"/>
  </w:num>
  <w:num w:numId="13" w16cid:durableId="1531142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FC"/>
    <w:rsid w:val="00001A2C"/>
    <w:rsid w:val="00004232"/>
    <w:rsid w:val="00005460"/>
    <w:rsid w:val="00005501"/>
    <w:rsid w:val="000146D4"/>
    <w:rsid w:val="00015212"/>
    <w:rsid w:val="000205D2"/>
    <w:rsid w:val="0002581B"/>
    <w:rsid w:val="0003064F"/>
    <w:rsid w:val="00033198"/>
    <w:rsid w:val="0003385D"/>
    <w:rsid w:val="00033D82"/>
    <w:rsid w:val="000412C7"/>
    <w:rsid w:val="00050A5C"/>
    <w:rsid w:val="0005381D"/>
    <w:rsid w:val="00053956"/>
    <w:rsid w:val="00055963"/>
    <w:rsid w:val="00056C7A"/>
    <w:rsid w:val="000610F0"/>
    <w:rsid w:val="00061252"/>
    <w:rsid w:val="00061C30"/>
    <w:rsid w:val="00063600"/>
    <w:rsid w:val="00065750"/>
    <w:rsid w:val="00074F3D"/>
    <w:rsid w:val="00075048"/>
    <w:rsid w:val="00080267"/>
    <w:rsid w:val="0008305D"/>
    <w:rsid w:val="0008385F"/>
    <w:rsid w:val="00086A28"/>
    <w:rsid w:val="00090F5D"/>
    <w:rsid w:val="00092E52"/>
    <w:rsid w:val="0009372A"/>
    <w:rsid w:val="00094DEC"/>
    <w:rsid w:val="0009676B"/>
    <w:rsid w:val="000A2ABE"/>
    <w:rsid w:val="000A2C10"/>
    <w:rsid w:val="000A7E5E"/>
    <w:rsid w:val="000B19D7"/>
    <w:rsid w:val="000B22AC"/>
    <w:rsid w:val="000C142C"/>
    <w:rsid w:val="000C17C9"/>
    <w:rsid w:val="000C3110"/>
    <w:rsid w:val="000C3DFC"/>
    <w:rsid w:val="000C6151"/>
    <w:rsid w:val="000D0742"/>
    <w:rsid w:val="000D1B0E"/>
    <w:rsid w:val="000D2413"/>
    <w:rsid w:val="000D2571"/>
    <w:rsid w:val="000E05CA"/>
    <w:rsid w:val="000E0932"/>
    <w:rsid w:val="000E3252"/>
    <w:rsid w:val="000E4DE0"/>
    <w:rsid w:val="000E5383"/>
    <w:rsid w:val="000F2ADB"/>
    <w:rsid w:val="000F2C3B"/>
    <w:rsid w:val="000F46A7"/>
    <w:rsid w:val="000F61CF"/>
    <w:rsid w:val="000F7685"/>
    <w:rsid w:val="000F7BFE"/>
    <w:rsid w:val="00107BAD"/>
    <w:rsid w:val="001121D3"/>
    <w:rsid w:val="00127007"/>
    <w:rsid w:val="0012782A"/>
    <w:rsid w:val="00130462"/>
    <w:rsid w:val="00132569"/>
    <w:rsid w:val="00137565"/>
    <w:rsid w:val="00141A6D"/>
    <w:rsid w:val="00147BEB"/>
    <w:rsid w:val="0015163C"/>
    <w:rsid w:val="001518A3"/>
    <w:rsid w:val="0015676A"/>
    <w:rsid w:val="001577D8"/>
    <w:rsid w:val="0016397C"/>
    <w:rsid w:val="00165216"/>
    <w:rsid w:val="001661D3"/>
    <w:rsid w:val="00167B5B"/>
    <w:rsid w:val="001704B7"/>
    <w:rsid w:val="0017443D"/>
    <w:rsid w:val="00177B60"/>
    <w:rsid w:val="00181E4B"/>
    <w:rsid w:val="00193CCD"/>
    <w:rsid w:val="001952D7"/>
    <w:rsid w:val="001A06AF"/>
    <w:rsid w:val="001A2E1C"/>
    <w:rsid w:val="001A3861"/>
    <w:rsid w:val="001A7280"/>
    <w:rsid w:val="001B5BF4"/>
    <w:rsid w:val="001B7A13"/>
    <w:rsid w:val="001C0F20"/>
    <w:rsid w:val="001C2BA6"/>
    <w:rsid w:val="001C3B7A"/>
    <w:rsid w:val="001C5DAB"/>
    <w:rsid w:val="001C6C8E"/>
    <w:rsid w:val="001D4900"/>
    <w:rsid w:val="001D4DB0"/>
    <w:rsid w:val="001D6844"/>
    <w:rsid w:val="001D69C1"/>
    <w:rsid w:val="001D7298"/>
    <w:rsid w:val="001E3BC7"/>
    <w:rsid w:val="001E3F8E"/>
    <w:rsid w:val="001F1F35"/>
    <w:rsid w:val="001F705C"/>
    <w:rsid w:val="002017D4"/>
    <w:rsid w:val="00202A6B"/>
    <w:rsid w:val="00204373"/>
    <w:rsid w:val="00205C7F"/>
    <w:rsid w:val="00205F98"/>
    <w:rsid w:val="00212D85"/>
    <w:rsid w:val="0021319E"/>
    <w:rsid w:val="002147EB"/>
    <w:rsid w:val="002173CF"/>
    <w:rsid w:val="0021781E"/>
    <w:rsid w:val="00220C72"/>
    <w:rsid w:val="002279CD"/>
    <w:rsid w:val="0023606B"/>
    <w:rsid w:val="00236E88"/>
    <w:rsid w:val="002457CE"/>
    <w:rsid w:val="00245C51"/>
    <w:rsid w:val="00245EED"/>
    <w:rsid w:val="0024679C"/>
    <w:rsid w:val="00254511"/>
    <w:rsid w:val="002549B3"/>
    <w:rsid w:val="00263C2F"/>
    <w:rsid w:val="00266450"/>
    <w:rsid w:val="0027001C"/>
    <w:rsid w:val="00273F99"/>
    <w:rsid w:val="00276532"/>
    <w:rsid w:val="00276715"/>
    <w:rsid w:val="00280C66"/>
    <w:rsid w:val="00282E11"/>
    <w:rsid w:val="00291B75"/>
    <w:rsid w:val="002920C0"/>
    <w:rsid w:val="002A57B2"/>
    <w:rsid w:val="002A5910"/>
    <w:rsid w:val="002A72D2"/>
    <w:rsid w:val="002A7D93"/>
    <w:rsid w:val="002B170B"/>
    <w:rsid w:val="002B46FF"/>
    <w:rsid w:val="002B4D29"/>
    <w:rsid w:val="002B7088"/>
    <w:rsid w:val="002C58C4"/>
    <w:rsid w:val="002C621B"/>
    <w:rsid w:val="002D1362"/>
    <w:rsid w:val="002D17FE"/>
    <w:rsid w:val="002D2109"/>
    <w:rsid w:val="002D2D44"/>
    <w:rsid w:val="002D7EE9"/>
    <w:rsid w:val="002E01DF"/>
    <w:rsid w:val="002E37D1"/>
    <w:rsid w:val="002E499C"/>
    <w:rsid w:val="002E52C6"/>
    <w:rsid w:val="002E578A"/>
    <w:rsid w:val="002E64A2"/>
    <w:rsid w:val="002E736A"/>
    <w:rsid w:val="002F1F1A"/>
    <w:rsid w:val="002F4B74"/>
    <w:rsid w:val="002F5D2E"/>
    <w:rsid w:val="00300C99"/>
    <w:rsid w:val="00301551"/>
    <w:rsid w:val="0030182A"/>
    <w:rsid w:val="00302190"/>
    <w:rsid w:val="00303957"/>
    <w:rsid w:val="00303E58"/>
    <w:rsid w:val="00306154"/>
    <w:rsid w:val="003065AD"/>
    <w:rsid w:val="003078DD"/>
    <w:rsid w:val="0031369F"/>
    <w:rsid w:val="003142DF"/>
    <w:rsid w:val="00323A4A"/>
    <w:rsid w:val="00323FA5"/>
    <w:rsid w:val="0032404F"/>
    <w:rsid w:val="0032485C"/>
    <w:rsid w:val="00324BC4"/>
    <w:rsid w:val="003266E4"/>
    <w:rsid w:val="003269DF"/>
    <w:rsid w:val="00327542"/>
    <w:rsid w:val="00331738"/>
    <w:rsid w:val="003373C2"/>
    <w:rsid w:val="00340B3C"/>
    <w:rsid w:val="00350E40"/>
    <w:rsid w:val="00357349"/>
    <w:rsid w:val="00357A58"/>
    <w:rsid w:val="00363D8A"/>
    <w:rsid w:val="00364122"/>
    <w:rsid w:val="00367915"/>
    <w:rsid w:val="003767ED"/>
    <w:rsid w:val="00395AA0"/>
    <w:rsid w:val="003A05C6"/>
    <w:rsid w:val="003A1300"/>
    <w:rsid w:val="003A31C7"/>
    <w:rsid w:val="003B6CBB"/>
    <w:rsid w:val="003B7E2B"/>
    <w:rsid w:val="003C0739"/>
    <w:rsid w:val="003C4AFA"/>
    <w:rsid w:val="003D1B0A"/>
    <w:rsid w:val="003D3F4D"/>
    <w:rsid w:val="003D4419"/>
    <w:rsid w:val="003D6761"/>
    <w:rsid w:val="003E1620"/>
    <w:rsid w:val="003E3ECA"/>
    <w:rsid w:val="003E68CD"/>
    <w:rsid w:val="003E69F5"/>
    <w:rsid w:val="003F2122"/>
    <w:rsid w:val="003F712F"/>
    <w:rsid w:val="00406FA0"/>
    <w:rsid w:val="004078BD"/>
    <w:rsid w:val="00411D69"/>
    <w:rsid w:val="004135E2"/>
    <w:rsid w:val="00416B5E"/>
    <w:rsid w:val="0041743A"/>
    <w:rsid w:val="00420A2C"/>
    <w:rsid w:val="00421810"/>
    <w:rsid w:val="00423615"/>
    <w:rsid w:val="004259E7"/>
    <w:rsid w:val="00426516"/>
    <w:rsid w:val="00435B19"/>
    <w:rsid w:val="00444097"/>
    <w:rsid w:val="004502E7"/>
    <w:rsid w:val="00453B95"/>
    <w:rsid w:val="0045510B"/>
    <w:rsid w:val="00455B07"/>
    <w:rsid w:val="004636BC"/>
    <w:rsid w:val="00463FEA"/>
    <w:rsid w:val="004668AD"/>
    <w:rsid w:val="00466E06"/>
    <w:rsid w:val="00467BCA"/>
    <w:rsid w:val="00471F2C"/>
    <w:rsid w:val="00475BF3"/>
    <w:rsid w:val="00475C07"/>
    <w:rsid w:val="00480944"/>
    <w:rsid w:val="00480CCA"/>
    <w:rsid w:val="0048323E"/>
    <w:rsid w:val="0048384D"/>
    <w:rsid w:val="00491066"/>
    <w:rsid w:val="00493587"/>
    <w:rsid w:val="00495D41"/>
    <w:rsid w:val="00497849"/>
    <w:rsid w:val="004A0CD8"/>
    <w:rsid w:val="004A3BC7"/>
    <w:rsid w:val="004A47B8"/>
    <w:rsid w:val="004B5E79"/>
    <w:rsid w:val="004B63F4"/>
    <w:rsid w:val="004B725F"/>
    <w:rsid w:val="004B7312"/>
    <w:rsid w:val="004C7645"/>
    <w:rsid w:val="004C7FAC"/>
    <w:rsid w:val="004D2876"/>
    <w:rsid w:val="004D37AF"/>
    <w:rsid w:val="004D47D8"/>
    <w:rsid w:val="004E0647"/>
    <w:rsid w:val="004E1FC8"/>
    <w:rsid w:val="004E4FEE"/>
    <w:rsid w:val="004F0356"/>
    <w:rsid w:val="004F1233"/>
    <w:rsid w:val="004F52FC"/>
    <w:rsid w:val="004F5DBC"/>
    <w:rsid w:val="004F75C6"/>
    <w:rsid w:val="004F7F25"/>
    <w:rsid w:val="00502024"/>
    <w:rsid w:val="00502881"/>
    <w:rsid w:val="005035A9"/>
    <w:rsid w:val="005053CF"/>
    <w:rsid w:val="00505B19"/>
    <w:rsid w:val="00507ADC"/>
    <w:rsid w:val="005108E3"/>
    <w:rsid w:val="005111AC"/>
    <w:rsid w:val="00514030"/>
    <w:rsid w:val="00514FBE"/>
    <w:rsid w:val="005178BC"/>
    <w:rsid w:val="00526D07"/>
    <w:rsid w:val="00530F35"/>
    <w:rsid w:val="00532B1D"/>
    <w:rsid w:val="00534B37"/>
    <w:rsid w:val="005453F1"/>
    <w:rsid w:val="00546308"/>
    <w:rsid w:val="0054650F"/>
    <w:rsid w:val="0055185C"/>
    <w:rsid w:val="005611EE"/>
    <w:rsid w:val="0056287F"/>
    <w:rsid w:val="0056368C"/>
    <w:rsid w:val="00563F00"/>
    <w:rsid w:val="005643FC"/>
    <w:rsid w:val="0057085A"/>
    <w:rsid w:val="0057685B"/>
    <w:rsid w:val="0058588F"/>
    <w:rsid w:val="00585BF6"/>
    <w:rsid w:val="0058764E"/>
    <w:rsid w:val="0059340F"/>
    <w:rsid w:val="00594CA5"/>
    <w:rsid w:val="0059627C"/>
    <w:rsid w:val="005974BE"/>
    <w:rsid w:val="005A2814"/>
    <w:rsid w:val="005A47E7"/>
    <w:rsid w:val="005A7116"/>
    <w:rsid w:val="005B0E96"/>
    <w:rsid w:val="005B35A1"/>
    <w:rsid w:val="005B48F7"/>
    <w:rsid w:val="005B6C98"/>
    <w:rsid w:val="005C2E71"/>
    <w:rsid w:val="005C556A"/>
    <w:rsid w:val="005C6371"/>
    <w:rsid w:val="005C661F"/>
    <w:rsid w:val="005D18F2"/>
    <w:rsid w:val="005D1D4D"/>
    <w:rsid w:val="005D2F75"/>
    <w:rsid w:val="005D352A"/>
    <w:rsid w:val="005D53FE"/>
    <w:rsid w:val="005F47E4"/>
    <w:rsid w:val="005F5760"/>
    <w:rsid w:val="006015D4"/>
    <w:rsid w:val="0060214F"/>
    <w:rsid w:val="0060554C"/>
    <w:rsid w:val="006110A2"/>
    <w:rsid w:val="006121E1"/>
    <w:rsid w:val="00613B8E"/>
    <w:rsid w:val="00613E4B"/>
    <w:rsid w:val="006141FA"/>
    <w:rsid w:val="00615111"/>
    <w:rsid w:val="006153E3"/>
    <w:rsid w:val="006228C5"/>
    <w:rsid w:val="006316FC"/>
    <w:rsid w:val="006343FE"/>
    <w:rsid w:val="00634441"/>
    <w:rsid w:val="00636246"/>
    <w:rsid w:val="00636311"/>
    <w:rsid w:val="006368BF"/>
    <w:rsid w:val="00644500"/>
    <w:rsid w:val="006454C4"/>
    <w:rsid w:val="00650A32"/>
    <w:rsid w:val="006569D8"/>
    <w:rsid w:val="00657AF2"/>
    <w:rsid w:val="00661DAD"/>
    <w:rsid w:val="00665B03"/>
    <w:rsid w:val="00666640"/>
    <w:rsid w:val="006731A5"/>
    <w:rsid w:val="00675DA3"/>
    <w:rsid w:val="006764CE"/>
    <w:rsid w:val="00683728"/>
    <w:rsid w:val="00687438"/>
    <w:rsid w:val="0069381C"/>
    <w:rsid w:val="00693DA8"/>
    <w:rsid w:val="006944A1"/>
    <w:rsid w:val="00694DC6"/>
    <w:rsid w:val="006A0137"/>
    <w:rsid w:val="006A4E06"/>
    <w:rsid w:val="006A4E2E"/>
    <w:rsid w:val="006A6ECE"/>
    <w:rsid w:val="006A7397"/>
    <w:rsid w:val="006B062D"/>
    <w:rsid w:val="006B3FB7"/>
    <w:rsid w:val="006B6654"/>
    <w:rsid w:val="006C1126"/>
    <w:rsid w:val="006C39EA"/>
    <w:rsid w:val="006C4C26"/>
    <w:rsid w:val="006C5313"/>
    <w:rsid w:val="006C544D"/>
    <w:rsid w:val="006C7FB8"/>
    <w:rsid w:val="006D42F5"/>
    <w:rsid w:val="006D52A5"/>
    <w:rsid w:val="006D5DA1"/>
    <w:rsid w:val="006D7B9E"/>
    <w:rsid w:val="006D7EF5"/>
    <w:rsid w:val="006E1802"/>
    <w:rsid w:val="006E3787"/>
    <w:rsid w:val="006E756D"/>
    <w:rsid w:val="006E7583"/>
    <w:rsid w:val="006F6367"/>
    <w:rsid w:val="006F7948"/>
    <w:rsid w:val="00701771"/>
    <w:rsid w:val="0070234B"/>
    <w:rsid w:val="007076FF"/>
    <w:rsid w:val="00713700"/>
    <w:rsid w:val="00713E7B"/>
    <w:rsid w:val="00714107"/>
    <w:rsid w:val="00715CAB"/>
    <w:rsid w:val="007233E5"/>
    <w:rsid w:val="00723715"/>
    <w:rsid w:val="00724D7D"/>
    <w:rsid w:val="00725177"/>
    <w:rsid w:val="00726FAE"/>
    <w:rsid w:val="00730291"/>
    <w:rsid w:val="00730D35"/>
    <w:rsid w:val="0073155E"/>
    <w:rsid w:val="00732A4B"/>
    <w:rsid w:val="00733088"/>
    <w:rsid w:val="007349B1"/>
    <w:rsid w:val="0073641B"/>
    <w:rsid w:val="007377AC"/>
    <w:rsid w:val="007437DE"/>
    <w:rsid w:val="00747205"/>
    <w:rsid w:val="00752292"/>
    <w:rsid w:val="00752403"/>
    <w:rsid w:val="00753098"/>
    <w:rsid w:val="00756508"/>
    <w:rsid w:val="00761697"/>
    <w:rsid w:val="0076374D"/>
    <w:rsid w:val="00764668"/>
    <w:rsid w:val="00764AA9"/>
    <w:rsid w:val="007652CC"/>
    <w:rsid w:val="00774A3E"/>
    <w:rsid w:val="007766D5"/>
    <w:rsid w:val="00780461"/>
    <w:rsid w:val="00785BAF"/>
    <w:rsid w:val="00790539"/>
    <w:rsid w:val="00790987"/>
    <w:rsid w:val="007912AB"/>
    <w:rsid w:val="0079264C"/>
    <w:rsid w:val="0079433A"/>
    <w:rsid w:val="007A491E"/>
    <w:rsid w:val="007B0A50"/>
    <w:rsid w:val="007C0529"/>
    <w:rsid w:val="007C1A62"/>
    <w:rsid w:val="007C7594"/>
    <w:rsid w:val="007D0003"/>
    <w:rsid w:val="007D0332"/>
    <w:rsid w:val="007D2083"/>
    <w:rsid w:val="007D5F00"/>
    <w:rsid w:val="007D6C18"/>
    <w:rsid w:val="007E3C18"/>
    <w:rsid w:val="007E5C38"/>
    <w:rsid w:val="007E7E77"/>
    <w:rsid w:val="007F277A"/>
    <w:rsid w:val="007F2DB2"/>
    <w:rsid w:val="008008D2"/>
    <w:rsid w:val="0080147D"/>
    <w:rsid w:val="00801F13"/>
    <w:rsid w:val="00803582"/>
    <w:rsid w:val="00805C42"/>
    <w:rsid w:val="0080682E"/>
    <w:rsid w:val="008077C3"/>
    <w:rsid w:val="0081156C"/>
    <w:rsid w:val="00812358"/>
    <w:rsid w:val="008131A7"/>
    <w:rsid w:val="0081667A"/>
    <w:rsid w:val="00816960"/>
    <w:rsid w:val="00816EF3"/>
    <w:rsid w:val="008267FD"/>
    <w:rsid w:val="0082705D"/>
    <w:rsid w:val="008272A2"/>
    <w:rsid w:val="00833317"/>
    <w:rsid w:val="00837776"/>
    <w:rsid w:val="00837AFC"/>
    <w:rsid w:val="008409DC"/>
    <w:rsid w:val="0084287A"/>
    <w:rsid w:val="00843446"/>
    <w:rsid w:val="008442E9"/>
    <w:rsid w:val="00870C54"/>
    <w:rsid w:val="008713E5"/>
    <w:rsid w:val="008722BC"/>
    <w:rsid w:val="00877171"/>
    <w:rsid w:val="00880D2F"/>
    <w:rsid w:val="00882A24"/>
    <w:rsid w:val="00886B5D"/>
    <w:rsid w:val="0089128C"/>
    <w:rsid w:val="00893E3E"/>
    <w:rsid w:val="008A620A"/>
    <w:rsid w:val="008B0A20"/>
    <w:rsid w:val="008B376C"/>
    <w:rsid w:val="008C27A6"/>
    <w:rsid w:val="008C4EE7"/>
    <w:rsid w:val="008D61E4"/>
    <w:rsid w:val="008E0123"/>
    <w:rsid w:val="008E0730"/>
    <w:rsid w:val="008E7EF3"/>
    <w:rsid w:val="008E7FB9"/>
    <w:rsid w:val="008F0D90"/>
    <w:rsid w:val="008F2366"/>
    <w:rsid w:val="008F2C0B"/>
    <w:rsid w:val="008F467F"/>
    <w:rsid w:val="008F5230"/>
    <w:rsid w:val="008F632E"/>
    <w:rsid w:val="008F6F3B"/>
    <w:rsid w:val="009018E3"/>
    <w:rsid w:val="00911A0C"/>
    <w:rsid w:val="0091211F"/>
    <w:rsid w:val="00915A3B"/>
    <w:rsid w:val="00917172"/>
    <w:rsid w:val="0092045E"/>
    <w:rsid w:val="00921DD7"/>
    <w:rsid w:val="009220A7"/>
    <w:rsid w:val="00922E85"/>
    <w:rsid w:val="009236BC"/>
    <w:rsid w:val="00924D47"/>
    <w:rsid w:val="0093132A"/>
    <w:rsid w:val="00931FB8"/>
    <w:rsid w:val="009367DB"/>
    <w:rsid w:val="0093777F"/>
    <w:rsid w:val="00937942"/>
    <w:rsid w:val="00941305"/>
    <w:rsid w:val="00941546"/>
    <w:rsid w:val="009430AD"/>
    <w:rsid w:val="009453B6"/>
    <w:rsid w:val="009458EE"/>
    <w:rsid w:val="00945F2F"/>
    <w:rsid w:val="00951488"/>
    <w:rsid w:val="009529E5"/>
    <w:rsid w:val="009533CF"/>
    <w:rsid w:val="0095603F"/>
    <w:rsid w:val="0096263F"/>
    <w:rsid w:val="00965022"/>
    <w:rsid w:val="0096643B"/>
    <w:rsid w:val="009679A8"/>
    <w:rsid w:val="00967E06"/>
    <w:rsid w:val="0097318E"/>
    <w:rsid w:val="00985D11"/>
    <w:rsid w:val="00987802"/>
    <w:rsid w:val="00987E46"/>
    <w:rsid w:val="0099029D"/>
    <w:rsid w:val="0099137A"/>
    <w:rsid w:val="009A1E09"/>
    <w:rsid w:val="009A1E90"/>
    <w:rsid w:val="009A2E6F"/>
    <w:rsid w:val="009A5809"/>
    <w:rsid w:val="009A7E7E"/>
    <w:rsid w:val="009A7ED5"/>
    <w:rsid w:val="009B0E0B"/>
    <w:rsid w:val="009B2B31"/>
    <w:rsid w:val="009B7DC8"/>
    <w:rsid w:val="009C10B7"/>
    <w:rsid w:val="009C1AA8"/>
    <w:rsid w:val="009C340E"/>
    <w:rsid w:val="009C41C0"/>
    <w:rsid w:val="009C7365"/>
    <w:rsid w:val="009D1E17"/>
    <w:rsid w:val="009D222A"/>
    <w:rsid w:val="009D3C67"/>
    <w:rsid w:val="009D40B4"/>
    <w:rsid w:val="009E1578"/>
    <w:rsid w:val="009E3D28"/>
    <w:rsid w:val="009E6B08"/>
    <w:rsid w:val="009F090E"/>
    <w:rsid w:val="009F35E1"/>
    <w:rsid w:val="009F6970"/>
    <w:rsid w:val="00A0033B"/>
    <w:rsid w:val="00A05D98"/>
    <w:rsid w:val="00A06533"/>
    <w:rsid w:val="00A13B97"/>
    <w:rsid w:val="00A15130"/>
    <w:rsid w:val="00A16454"/>
    <w:rsid w:val="00A23F32"/>
    <w:rsid w:val="00A25CE6"/>
    <w:rsid w:val="00A26E24"/>
    <w:rsid w:val="00A32BDD"/>
    <w:rsid w:val="00A33A49"/>
    <w:rsid w:val="00A35488"/>
    <w:rsid w:val="00A355C5"/>
    <w:rsid w:val="00A37318"/>
    <w:rsid w:val="00A448BE"/>
    <w:rsid w:val="00A4539D"/>
    <w:rsid w:val="00A45AD2"/>
    <w:rsid w:val="00A50AF4"/>
    <w:rsid w:val="00A5227A"/>
    <w:rsid w:val="00A52966"/>
    <w:rsid w:val="00A53918"/>
    <w:rsid w:val="00A54732"/>
    <w:rsid w:val="00A576B8"/>
    <w:rsid w:val="00A62A6D"/>
    <w:rsid w:val="00A70A79"/>
    <w:rsid w:val="00A71A45"/>
    <w:rsid w:val="00A7289F"/>
    <w:rsid w:val="00A72D02"/>
    <w:rsid w:val="00A75B39"/>
    <w:rsid w:val="00A76AD9"/>
    <w:rsid w:val="00A82C6D"/>
    <w:rsid w:val="00A83820"/>
    <w:rsid w:val="00A83E9B"/>
    <w:rsid w:val="00A86583"/>
    <w:rsid w:val="00A86BF1"/>
    <w:rsid w:val="00A906C5"/>
    <w:rsid w:val="00A90CD4"/>
    <w:rsid w:val="00A94FB7"/>
    <w:rsid w:val="00A96275"/>
    <w:rsid w:val="00AA0D11"/>
    <w:rsid w:val="00AA4E1E"/>
    <w:rsid w:val="00AA6348"/>
    <w:rsid w:val="00AB0690"/>
    <w:rsid w:val="00AB298D"/>
    <w:rsid w:val="00AB4F4E"/>
    <w:rsid w:val="00AB5804"/>
    <w:rsid w:val="00AB6305"/>
    <w:rsid w:val="00AB6442"/>
    <w:rsid w:val="00AC1300"/>
    <w:rsid w:val="00AC2592"/>
    <w:rsid w:val="00AC3087"/>
    <w:rsid w:val="00AC30E9"/>
    <w:rsid w:val="00AC4069"/>
    <w:rsid w:val="00AC4AF4"/>
    <w:rsid w:val="00AC4FF5"/>
    <w:rsid w:val="00AC522B"/>
    <w:rsid w:val="00AC616C"/>
    <w:rsid w:val="00AC6FA9"/>
    <w:rsid w:val="00AC6FCF"/>
    <w:rsid w:val="00AD0114"/>
    <w:rsid w:val="00AD0CA5"/>
    <w:rsid w:val="00AD7617"/>
    <w:rsid w:val="00AD7D5A"/>
    <w:rsid w:val="00AE05C5"/>
    <w:rsid w:val="00AE4210"/>
    <w:rsid w:val="00AE6684"/>
    <w:rsid w:val="00AE7F99"/>
    <w:rsid w:val="00AF1431"/>
    <w:rsid w:val="00AF3046"/>
    <w:rsid w:val="00AF3B24"/>
    <w:rsid w:val="00AF5027"/>
    <w:rsid w:val="00B012AC"/>
    <w:rsid w:val="00B03BE8"/>
    <w:rsid w:val="00B03D75"/>
    <w:rsid w:val="00B10E32"/>
    <w:rsid w:val="00B10E79"/>
    <w:rsid w:val="00B1757C"/>
    <w:rsid w:val="00B17A0C"/>
    <w:rsid w:val="00B17CBC"/>
    <w:rsid w:val="00B20E3D"/>
    <w:rsid w:val="00B218A8"/>
    <w:rsid w:val="00B21AE5"/>
    <w:rsid w:val="00B30D37"/>
    <w:rsid w:val="00B31228"/>
    <w:rsid w:val="00B3170B"/>
    <w:rsid w:val="00B325CC"/>
    <w:rsid w:val="00B35360"/>
    <w:rsid w:val="00B36257"/>
    <w:rsid w:val="00B41430"/>
    <w:rsid w:val="00B41847"/>
    <w:rsid w:val="00B4449E"/>
    <w:rsid w:val="00B50B65"/>
    <w:rsid w:val="00B5121B"/>
    <w:rsid w:val="00B517A4"/>
    <w:rsid w:val="00B55033"/>
    <w:rsid w:val="00B578C6"/>
    <w:rsid w:val="00B57DE2"/>
    <w:rsid w:val="00B64EDB"/>
    <w:rsid w:val="00B67383"/>
    <w:rsid w:val="00B75705"/>
    <w:rsid w:val="00B75CBE"/>
    <w:rsid w:val="00B77616"/>
    <w:rsid w:val="00B815AA"/>
    <w:rsid w:val="00B81746"/>
    <w:rsid w:val="00B84CE5"/>
    <w:rsid w:val="00B87B1A"/>
    <w:rsid w:val="00B916D3"/>
    <w:rsid w:val="00B920DD"/>
    <w:rsid w:val="00B92890"/>
    <w:rsid w:val="00B97E58"/>
    <w:rsid w:val="00BA2321"/>
    <w:rsid w:val="00BA2B41"/>
    <w:rsid w:val="00BA3F31"/>
    <w:rsid w:val="00BB4CA9"/>
    <w:rsid w:val="00BC0FA8"/>
    <w:rsid w:val="00BC77F9"/>
    <w:rsid w:val="00BD3559"/>
    <w:rsid w:val="00BD45D0"/>
    <w:rsid w:val="00BD4E72"/>
    <w:rsid w:val="00BD4EC3"/>
    <w:rsid w:val="00BE1258"/>
    <w:rsid w:val="00BE1EF2"/>
    <w:rsid w:val="00BE5CC4"/>
    <w:rsid w:val="00BF1566"/>
    <w:rsid w:val="00BF15CC"/>
    <w:rsid w:val="00BF2473"/>
    <w:rsid w:val="00BF4263"/>
    <w:rsid w:val="00BF70DE"/>
    <w:rsid w:val="00C00EB9"/>
    <w:rsid w:val="00C02BD6"/>
    <w:rsid w:val="00C07017"/>
    <w:rsid w:val="00C070E7"/>
    <w:rsid w:val="00C12082"/>
    <w:rsid w:val="00C17E81"/>
    <w:rsid w:val="00C24326"/>
    <w:rsid w:val="00C26749"/>
    <w:rsid w:val="00C302EB"/>
    <w:rsid w:val="00C34074"/>
    <w:rsid w:val="00C3553F"/>
    <w:rsid w:val="00C35607"/>
    <w:rsid w:val="00C35A87"/>
    <w:rsid w:val="00C4259C"/>
    <w:rsid w:val="00C451C1"/>
    <w:rsid w:val="00C45968"/>
    <w:rsid w:val="00C46502"/>
    <w:rsid w:val="00C50BFE"/>
    <w:rsid w:val="00C55B74"/>
    <w:rsid w:val="00C605AD"/>
    <w:rsid w:val="00C60B5E"/>
    <w:rsid w:val="00C638A9"/>
    <w:rsid w:val="00C64A4A"/>
    <w:rsid w:val="00C6610A"/>
    <w:rsid w:val="00C6619D"/>
    <w:rsid w:val="00C67931"/>
    <w:rsid w:val="00C70F18"/>
    <w:rsid w:val="00C71412"/>
    <w:rsid w:val="00C732AF"/>
    <w:rsid w:val="00C74A63"/>
    <w:rsid w:val="00C83C0B"/>
    <w:rsid w:val="00C90996"/>
    <w:rsid w:val="00C935C8"/>
    <w:rsid w:val="00C95440"/>
    <w:rsid w:val="00CA0C5A"/>
    <w:rsid w:val="00CA1BB0"/>
    <w:rsid w:val="00CA3D26"/>
    <w:rsid w:val="00CA4009"/>
    <w:rsid w:val="00CA5FBC"/>
    <w:rsid w:val="00CA7B8A"/>
    <w:rsid w:val="00CB0377"/>
    <w:rsid w:val="00CB042C"/>
    <w:rsid w:val="00CB3958"/>
    <w:rsid w:val="00CB3CAB"/>
    <w:rsid w:val="00CC0CBE"/>
    <w:rsid w:val="00CC1ACB"/>
    <w:rsid w:val="00CC2202"/>
    <w:rsid w:val="00CC4093"/>
    <w:rsid w:val="00CC53C3"/>
    <w:rsid w:val="00CD11F2"/>
    <w:rsid w:val="00CD2E00"/>
    <w:rsid w:val="00CD6F89"/>
    <w:rsid w:val="00CE3BA9"/>
    <w:rsid w:val="00CE40F4"/>
    <w:rsid w:val="00CE56FC"/>
    <w:rsid w:val="00CE6872"/>
    <w:rsid w:val="00CE7B97"/>
    <w:rsid w:val="00CF3A34"/>
    <w:rsid w:val="00D00920"/>
    <w:rsid w:val="00D03DD1"/>
    <w:rsid w:val="00D04090"/>
    <w:rsid w:val="00D05BFD"/>
    <w:rsid w:val="00D077F6"/>
    <w:rsid w:val="00D1091A"/>
    <w:rsid w:val="00D12156"/>
    <w:rsid w:val="00D13A0B"/>
    <w:rsid w:val="00D13E08"/>
    <w:rsid w:val="00D14A28"/>
    <w:rsid w:val="00D15700"/>
    <w:rsid w:val="00D15D7A"/>
    <w:rsid w:val="00D216ED"/>
    <w:rsid w:val="00D251DB"/>
    <w:rsid w:val="00D27B14"/>
    <w:rsid w:val="00D31BD8"/>
    <w:rsid w:val="00D33D52"/>
    <w:rsid w:val="00D33FA4"/>
    <w:rsid w:val="00D35620"/>
    <w:rsid w:val="00D407FF"/>
    <w:rsid w:val="00D43CFC"/>
    <w:rsid w:val="00D527D7"/>
    <w:rsid w:val="00D5322E"/>
    <w:rsid w:val="00D5402F"/>
    <w:rsid w:val="00D5558A"/>
    <w:rsid w:val="00D56224"/>
    <w:rsid w:val="00D57E11"/>
    <w:rsid w:val="00D6026E"/>
    <w:rsid w:val="00D645C9"/>
    <w:rsid w:val="00D73619"/>
    <w:rsid w:val="00D7452E"/>
    <w:rsid w:val="00D75EDF"/>
    <w:rsid w:val="00D80F5A"/>
    <w:rsid w:val="00D82CD5"/>
    <w:rsid w:val="00D86221"/>
    <w:rsid w:val="00D87C34"/>
    <w:rsid w:val="00D9118E"/>
    <w:rsid w:val="00D92D07"/>
    <w:rsid w:val="00D92F60"/>
    <w:rsid w:val="00D93234"/>
    <w:rsid w:val="00D94652"/>
    <w:rsid w:val="00D95689"/>
    <w:rsid w:val="00D979CE"/>
    <w:rsid w:val="00DA0D3C"/>
    <w:rsid w:val="00DA2473"/>
    <w:rsid w:val="00DA3A29"/>
    <w:rsid w:val="00DA44FA"/>
    <w:rsid w:val="00DA5079"/>
    <w:rsid w:val="00DB1977"/>
    <w:rsid w:val="00DB27A7"/>
    <w:rsid w:val="00DB5B05"/>
    <w:rsid w:val="00DC019F"/>
    <w:rsid w:val="00DC19D2"/>
    <w:rsid w:val="00DC3159"/>
    <w:rsid w:val="00DC6554"/>
    <w:rsid w:val="00DC6BF0"/>
    <w:rsid w:val="00DD04A0"/>
    <w:rsid w:val="00DD3A41"/>
    <w:rsid w:val="00DD40AA"/>
    <w:rsid w:val="00DE0F8B"/>
    <w:rsid w:val="00DE1C25"/>
    <w:rsid w:val="00DF3B8D"/>
    <w:rsid w:val="00DF4DFD"/>
    <w:rsid w:val="00E0158C"/>
    <w:rsid w:val="00E015A3"/>
    <w:rsid w:val="00E01A51"/>
    <w:rsid w:val="00E0287C"/>
    <w:rsid w:val="00E03458"/>
    <w:rsid w:val="00E03930"/>
    <w:rsid w:val="00E15ACC"/>
    <w:rsid w:val="00E25635"/>
    <w:rsid w:val="00E271E1"/>
    <w:rsid w:val="00E3362A"/>
    <w:rsid w:val="00E35A90"/>
    <w:rsid w:val="00E408E5"/>
    <w:rsid w:val="00E475FD"/>
    <w:rsid w:val="00E521BE"/>
    <w:rsid w:val="00E52A9F"/>
    <w:rsid w:val="00E54577"/>
    <w:rsid w:val="00E60084"/>
    <w:rsid w:val="00E6253C"/>
    <w:rsid w:val="00E63942"/>
    <w:rsid w:val="00E6466E"/>
    <w:rsid w:val="00E668B3"/>
    <w:rsid w:val="00E671FE"/>
    <w:rsid w:val="00E7171A"/>
    <w:rsid w:val="00E71FA7"/>
    <w:rsid w:val="00E73346"/>
    <w:rsid w:val="00E74B6E"/>
    <w:rsid w:val="00E76501"/>
    <w:rsid w:val="00E80284"/>
    <w:rsid w:val="00E8099A"/>
    <w:rsid w:val="00E90234"/>
    <w:rsid w:val="00E969F0"/>
    <w:rsid w:val="00E96E52"/>
    <w:rsid w:val="00E974E4"/>
    <w:rsid w:val="00EA719E"/>
    <w:rsid w:val="00EA7A2C"/>
    <w:rsid w:val="00EB0529"/>
    <w:rsid w:val="00EB0AF4"/>
    <w:rsid w:val="00EB1B2F"/>
    <w:rsid w:val="00EB6F85"/>
    <w:rsid w:val="00EC45AF"/>
    <w:rsid w:val="00EC4ADA"/>
    <w:rsid w:val="00EC6238"/>
    <w:rsid w:val="00EE09AD"/>
    <w:rsid w:val="00EE0B5C"/>
    <w:rsid w:val="00EE744C"/>
    <w:rsid w:val="00EF14BC"/>
    <w:rsid w:val="00EF191F"/>
    <w:rsid w:val="00EF4421"/>
    <w:rsid w:val="00EF4BF9"/>
    <w:rsid w:val="00EF765C"/>
    <w:rsid w:val="00F011D6"/>
    <w:rsid w:val="00F01639"/>
    <w:rsid w:val="00F06CAA"/>
    <w:rsid w:val="00F15FD9"/>
    <w:rsid w:val="00F22712"/>
    <w:rsid w:val="00F24B5F"/>
    <w:rsid w:val="00F25A02"/>
    <w:rsid w:val="00F26A80"/>
    <w:rsid w:val="00F32537"/>
    <w:rsid w:val="00F35B91"/>
    <w:rsid w:val="00F37A0E"/>
    <w:rsid w:val="00F45574"/>
    <w:rsid w:val="00F46C26"/>
    <w:rsid w:val="00F552F2"/>
    <w:rsid w:val="00F55CF8"/>
    <w:rsid w:val="00F6118D"/>
    <w:rsid w:val="00F616EF"/>
    <w:rsid w:val="00F62312"/>
    <w:rsid w:val="00F62711"/>
    <w:rsid w:val="00F63098"/>
    <w:rsid w:val="00F65FD3"/>
    <w:rsid w:val="00F704A9"/>
    <w:rsid w:val="00F75664"/>
    <w:rsid w:val="00F81289"/>
    <w:rsid w:val="00F9072A"/>
    <w:rsid w:val="00F91B9A"/>
    <w:rsid w:val="00F9446F"/>
    <w:rsid w:val="00F95CE8"/>
    <w:rsid w:val="00F97696"/>
    <w:rsid w:val="00F97E72"/>
    <w:rsid w:val="00FB47FD"/>
    <w:rsid w:val="00FB57A3"/>
    <w:rsid w:val="00FB73D9"/>
    <w:rsid w:val="00FB7A89"/>
    <w:rsid w:val="00FC27A7"/>
    <w:rsid w:val="00FC35DB"/>
    <w:rsid w:val="00FC6EF5"/>
    <w:rsid w:val="00FD1F3B"/>
    <w:rsid w:val="00FD5299"/>
    <w:rsid w:val="00FE1486"/>
    <w:rsid w:val="00FE4971"/>
    <w:rsid w:val="00FE6984"/>
    <w:rsid w:val="00FE7541"/>
    <w:rsid w:val="00FF0F43"/>
    <w:rsid w:val="00FF4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B9CD"/>
  <w15:chartTrackingRefBased/>
  <w15:docId w15:val="{6E1B315D-F7F1-4246-A65E-06EFF228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Párrafo de lista1,List Paragraph1,Colorful List - Accent 11,Cuadrícula clara - Énfasis 31,TEXTO GENERAL SENTENCIAS"/>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paragraph" w:styleId="Textonotapie">
    <w:name w:val="footnote text"/>
    <w:aliases w:val="FA Fu,Footnote reference,Footnote Text Char Char Char Char Char,Footnote Text Char Char Char Char,Footnote Text Char Char Char Char Car,texto de nota al pie,Texto nota pie Car1,Texto nota pie Car Car,texto de nota al pie Car Car,Ca,C,ft"/>
    <w:basedOn w:val="Normal"/>
    <w:link w:val="TextonotapieCar"/>
    <w:uiPriority w:val="99"/>
    <w:unhideWhenUsed/>
    <w:qFormat/>
    <w:rsid w:val="005C6371"/>
    <w:pPr>
      <w:spacing w:before="0" w:after="0" w:line="240" w:lineRule="auto"/>
      <w:jc w:val="left"/>
    </w:pPr>
    <w:rPr>
      <w:rFonts w:asciiTheme="minorHAnsi" w:hAnsiTheme="minorHAnsi" w:cstheme="minorBidi"/>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texto de nota al pie Car,Texto nota pie Car1 Car,Texto nota pie Car Car Car"/>
    <w:basedOn w:val="Fuentedeprrafopredeter"/>
    <w:link w:val="Textonotapie"/>
    <w:uiPriority w:val="99"/>
    <w:rsid w:val="005C637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5C6371"/>
    <w:rPr>
      <w:vertAlign w:val="superscript"/>
    </w:rPr>
  </w:style>
  <w:style w:type="character" w:customStyle="1" w:styleId="PrrafodelistaCar">
    <w:name w:val="Párrafo de lista Car"/>
    <w:aliases w:val="Cita texto Car,Footnote Car,Párrafo de lista1 Car,List Paragraph1 Car,Colorful List - Accent 11 Car,Cuadrícula clara - Énfasis 31 Car,TEXTO GENERAL SENTENCIAS Car"/>
    <w:basedOn w:val="Fuentedeprrafopredeter"/>
    <w:link w:val="Prrafodelista"/>
    <w:uiPriority w:val="99"/>
    <w:locked/>
    <w:rsid w:val="005C6371"/>
    <w:rPr>
      <w:rFonts w:ascii="Arial" w:hAnsi="Arial" w:cs="Arial"/>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C6371"/>
    <w:pPr>
      <w:spacing w:before="0" w:after="0" w:line="240" w:lineRule="auto"/>
    </w:pPr>
    <w:rPr>
      <w:rFonts w:asciiTheme="minorHAnsi" w:hAnsiTheme="minorHAnsi" w:cstheme="minorBidi"/>
      <w:sz w:val="22"/>
      <w:szCs w:val="22"/>
      <w:vertAlign w:val="superscript"/>
    </w:rPr>
  </w:style>
  <w:style w:type="paragraph" w:customStyle="1" w:styleId="Estilo">
    <w:name w:val="Estilo"/>
    <w:basedOn w:val="Sinespaciado"/>
    <w:link w:val="EstiloCar"/>
    <w:qFormat/>
    <w:rsid w:val="001D4DB0"/>
    <w:pPr>
      <w:spacing w:line="240" w:lineRule="auto"/>
    </w:pPr>
    <w:rPr>
      <w:rFonts w:cstheme="minorBidi"/>
      <w:sz w:val="24"/>
      <w:szCs w:val="22"/>
    </w:rPr>
  </w:style>
  <w:style w:type="character" w:customStyle="1" w:styleId="EstiloCar">
    <w:name w:val="Estilo Car"/>
    <w:basedOn w:val="Fuentedeprrafopredeter"/>
    <w:link w:val="Estilo"/>
    <w:rsid w:val="001D4DB0"/>
    <w:rPr>
      <w:rFonts w:ascii="Arial" w:hAnsi="Arial"/>
      <w:sz w:val="24"/>
    </w:rPr>
  </w:style>
  <w:style w:type="paragraph" w:customStyle="1" w:styleId="corte4fondo">
    <w:name w:val="corte4 fondo"/>
    <w:basedOn w:val="Normal"/>
    <w:link w:val="corte4fondoCar1"/>
    <w:qFormat/>
    <w:rsid w:val="001D4DB0"/>
    <w:pPr>
      <w:spacing w:before="0" w:after="0" w:line="300" w:lineRule="auto"/>
      <w:ind w:firstLine="709"/>
    </w:pPr>
    <w:rPr>
      <w:rFonts w:eastAsia="Times New Roman" w:cs="Times New Roman"/>
      <w:sz w:val="30"/>
      <w:szCs w:val="20"/>
      <w:lang w:val="es-ES_tradnl" w:eastAsia="x-none"/>
    </w:rPr>
  </w:style>
  <w:style w:type="character" w:customStyle="1" w:styleId="corte4fondoCar1">
    <w:name w:val="corte4 fondo Car1"/>
    <w:link w:val="corte4fondo"/>
    <w:locked/>
    <w:rsid w:val="001D4DB0"/>
    <w:rPr>
      <w:rFonts w:ascii="Arial" w:eastAsia="Times New Roman" w:hAnsi="Arial" w:cs="Times New Roman"/>
      <w:sz w:val="30"/>
      <w:szCs w:val="20"/>
      <w:lang w:val="es-ES_tradnl" w:eastAsia="x-none"/>
    </w:rPr>
  </w:style>
  <w:style w:type="character" w:customStyle="1" w:styleId="SinespaciadoCar">
    <w:name w:val="Sin espaciado Car"/>
    <w:link w:val="Sinespaciado"/>
    <w:uiPriority w:val="1"/>
    <w:locked/>
    <w:rsid w:val="001D4DB0"/>
    <w:rPr>
      <w:rFonts w:ascii="Arial" w:hAnsi="Arial" w:cs="Arial"/>
      <w:sz w:val="16"/>
      <w:szCs w:val="16"/>
    </w:rPr>
  </w:style>
  <w:style w:type="character" w:customStyle="1" w:styleId="lbl-encabezado-negro">
    <w:name w:val="lbl-encabezado-negro"/>
    <w:basedOn w:val="Fuentedeprrafopredeter"/>
    <w:rsid w:val="0018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rdeleon\AppData\Local\Temp\Plantilla_289065_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E B u s q u e d a A s u n t o   x m l n s = " h t t p : / / s c h e m a s . o p e n x m l f o r m a t s . o r g / A s u n t o A c t u a l " > < C o n s e c u t i v o > 1 < / C o n s e c u t i v o > < A � o > 2 0 2 0 < / A � o > < T i p o A s u n t o I D > 1 9 < / T i p o A s u n t o I D > < A s u n t o I D > 2 6 8 0 7 0 < / A s u n t o I D > < E x p e d i e n t e > 1 / 2 0 2 0 < / E x p e d i e n t e > < T i p o A s u n t o > A C C I � N   D E   I N C O N S T I T U C I O N A L I D A D < / T i p o A s u n t o > < / E B u s q u e d a A s u n t o > 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3.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91F09-C814-4925-A0F5-2F615DB1C142}">
  <ds:schemaRefs>
    <ds:schemaRef ds:uri="http://schemas.openxmlformats.org/RibbonEstatus"/>
  </ds:schemaRefs>
</ds:datastoreItem>
</file>

<file path=customXml/itemProps5.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6.xml><?xml version="1.0" encoding="utf-8"?>
<ds:datastoreItem xmlns:ds="http://schemas.openxmlformats.org/officeDocument/2006/customXml" ds:itemID="{CCE382B8-CDEA-49A0-9229-7866A384447A}">
  <ds:schemaRefs>
    <ds:schemaRef ds:uri="http://schemas.openxmlformats.org/AsuntoActual"/>
  </ds:schemaRefs>
</ds:datastoreItem>
</file>

<file path=customXml/itemProps7.xml><?xml version="1.0" encoding="utf-8"?>
<ds:datastoreItem xmlns:ds="http://schemas.openxmlformats.org/officeDocument/2006/customXml" ds:itemID="{9BBED2CC-858A-4DBE-B0E3-2AD1B3F2B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Plantilla_289065_2</Template>
  <TotalTime>1</TotalTime>
  <Pages>3</Pages>
  <Words>5641</Words>
  <Characters>31031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León Del Ángel</dc:creator>
  <cp:keywords/>
  <dc:description/>
  <cp:lastModifiedBy>Liliana Cabrera Moscoso</cp:lastModifiedBy>
  <cp:revision>2</cp:revision>
  <dcterms:created xsi:type="dcterms:W3CDTF">2022-09-20T14:30:00Z</dcterms:created>
  <dcterms:modified xsi:type="dcterms:W3CDTF">2022-09-20T14:30:00Z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